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017B8" w14:textId="77777777" w:rsidR="00667BE9" w:rsidRPr="0088141F" w:rsidRDefault="00667BE9">
      <w:pPr>
        <w:spacing w:after="0" w:line="240" w:lineRule="auto"/>
        <w:jc w:val="both"/>
        <w:rPr>
          <w:rFonts w:ascii="Times New Roman" w:eastAsia="Times New Roman" w:hAnsi="Times New Roman" w:cs="Times New Roman"/>
          <w:b/>
          <w:sz w:val="24"/>
          <w:szCs w:val="24"/>
          <w:u w:val="single"/>
        </w:rPr>
      </w:pPr>
    </w:p>
    <w:p w14:paraId="16DAD3AD" w14:textId="77777777" w:rsidR="00667BE9" w:rsidRPr="0088141F" w:rsidRDefault="00663748" w:rsidP="00663748">
      <w:pPr>
        <w:spacing w:after="0" w:line="240" w:lineRule="auto"/>
        <w:jc w:val="center"/>
        <w:rPr>
          <w:rFonts w:ascii="Times New Roman" w:hAnsi="Times New Roman" w:cs="Times New Roman"/>
          <w:b/>
          <w:sz w:val="24"/>
          <w:szCs w:val="24"/>
        </w:rPr>
      </w:pPr>
      <w:r w:rsidRPr="0088141F">
        <w:rPr>
          <w:rFonts w:ascii="Times New Roman" w:hAnsi="Times New Roman" w:cs="Times New Roman"/>
          <w:b/>
          <w:sz w:val="24"/>
          <w:szCs w:val="24"/>
        </w:rPr>
        <w:t>A EXPANSÃO PRODUTIVA AGROPECUÁRIA NO ESTADO DE MATO GROSSO E SEUS IMPACTOS FUNDIÁRIOS E AMBIENTAIS A PARTIR DOS ANOS 2000</w:t>
      </w:r>
      <w:r w:rsidR="003D1510">
        <w:rPr>
          <w:rStyle w:val="Refdenotaderodap"/>
          <w:rFonts w:ascii="Times New Roman" w:hAnsi="Times New Roman" w:cs="Times New Roman"/>
          <w:b/>
          <w:sz w:val="24"/>
          <w:szCs w:val="24"/>
        </w:rPr>
        <w:footnoteReference w:id="1"/>
      </w:r>
    </w:p>
    <w:p w14:paraId="0D62FA77" w14:textId="77777777" w:rsidR="00BA13CE" w:rsidRPr="0088141F" w:rsidRDefault="00BA13CE" w:rsidP="00663748">
      <w:pPr>
        <w:spacing w:after="0" w:line="240" w:lineRule="auto"/>
        <w:jc w:val="center"/>
        <w:rPr>
          <w:rFonts w:ascii="Times New Roman" w:hAnsi="Times New Roman" w:cs="Times New Roman"/>
          <w:b/>
          <w:sz w:val="24"/>
          <w:szCs w:val="24"/>
        </w:rPr>
      </w:pPr>
    </w:p>
    <w:p w14:paraId="292F589C" w14:textId="77777777" w:rsidR="000F60FF" w:rsidRPr="0003097C" w:rsidRDefault="00FA433F" w:rsidP="00663748">
      <w:pPr>
        <w:spacing w:after="0" w:line="240" w:lineRule="auto"/>
        <w:jc w:val="center"/>
        <w:rPr>
          <w:rFonts w:ascii="Times New Roman" w:hAnsi="Times New Roman" w:cs="Times New Roman"/>
          <w:b/>
          <w:sz w:val="24"/>
          <w:szCs w:val="24"/>
          <w:lang w:val="en-US"/>
        </w:rPr>
      </w:pPr>
      <w:r w:rsidRPr="0003097C">
        <w:rPr>
          <w:rFonts w:ascii="Times New Roman" w:hAnsi="Times New Roman" w:cs="Times New Roman"/>
          <w:b/>
          <w:sz w:val="24"/>
          <w:szCs w:val="24"/>
          <w:lang w:val="en-US"/>
        </w:rPr>
        <w:t>AGRICULTURAL PRODUCTIVE EXPANSION IN THE STATE OF MATO GROSSO AND ITS FUNDERIAL AND ENVIRONMENTAL IMPACTS FROM 2000</w:t>
      </w:r>
    </w:p>
    <w:p w14:paraId="1867270D" w14:textId="77777777" w:rsidR="00FA433F" w:rsidRPr="0003097C" w:rsidRDefault="00FA433F" w:rsidP="00663748">
      <w:pPr>
        <w:spacing w:after="0" w:line="240" w:lineRule="auto"/>
        <w:jc w:val="center"/>
        <w:rPr>
          <w:rFonts w:ascii="Times New Roman" w:hAnsi="Times New Roman" w:cs="Times New Roman"/>
          <w:b/>
          <w:sz w:val="24"/>
          <w:szCs w:val="24"/>
          <w:lang w:val="en-US"/>
        </w:rPr>
      </w:pPr>
    </w:p>
    <w:p w14:paraId="05CDA376" w14:textId="4FAA590A" w:rsidR="00663748" w:rsidRPr="0088141F" w:rsidRDefault="003A00FC" w:rsidP="00663748">
      <w:pPr>
        <w:spacing w:after="0" w:line="240" w:lineRule="auto"/>
        <w:jc w:val="center"/>
        <w:rPr>
          <w:rFonts w:ascii="Times New Roman" w:hAnsi="Times New Roman" w:cs="Times New Roman"/>
          <w:b/>
          <w:sz w:val="24"/>
          <w:szCs w:val="24"/>
        </w:rPr>
      </w:pPr>
      <w:r w:rsidRPr="003A00FC">
        <w:rPr>
          <w:rFonts w:ascii="Times New Roman" w:hAnsi="Times New Roman" w:cs="Times New Roman"/>
          <w:b/>
          <w:sz w:val="24"/>
          <w:szCs w:val="24"/>
        </w:rPr>
        <w:t>EXPANSIÓN PRODUCTIVA AGRÍCOLA EN EL ESTADO DE MATO GROSSO Y SUS IMPACTOS FUNDERIALES Y AMBIENTALES DESDE EL AÑO 2000</w:t>
      </w:r>
    </w:p>
    <w:p w14:paraId="10E9EF9A" w14:textId="77777777" w:rsidR="00663748" w:rsidRPr="00DD5717" w:rsidRDefault="00663748" w:rsidP="00DD5717">
      <w:pPr>
        <w:spacing w:after="0" w:line="240" w:lineRule="auto"/>
        <w:jc w:val="center"/>
        <w:rPr>
          <w:rFonts w:ascii="Times New Roman" w:hAnsi="Times New Roman" w:cs="Times New Roman"/>
          <w:b/>
          <w:sz w:val="24"/>
          <w:szCs w:val="24"/>
        </w:rPr>
      </w:pPr>
    </w:p>
    <w:p w14:paraId="79998F7A" w14:textId="77777777" w:rsidR="00667BE9" w:rsidRPr="0088141F" w:rsidRDefault="0082389E">
      <w:pPr>
        <w:spacing w:after="0" w:line="240" w:lineRule="auto"/>
        <w:jc w:val="both"/>
        <w:rPr>
          <w:rFonts w:ascii="Times New Roman" w:eastAsia="Times New Roman" w:hAnsi="Times New Roman" w:cs="Times New Roman"/>
          <w:b/>
          <w:sz w:val="24"/>
          <w:szCs w:val="24"/>
        </w:rPr>
      </w:pPr>
      <w:r w:rsidRPr="0088141F">
        <w:rPr>
          <w:rFonts w:ascii="Times New Roman" w:eastAsia="Times New Roman" w:hAnsi="Times New Roman" w:cs="Times New Roman"/>
          <w:b/>
          <w:sz w:val="24"/>
          <w:szCs w:val="24"/>
        </w:rPr>
        <w:t>Resumo</w:t>
      </w:r>
    </w:p>
    <w:p w14:paraId="132245CA" w14:textId="19805C79" w:rsidR="00AA1EF2" w:rsidRPr="0088141F" w:rsidRDefault="00782C36" w:rsidP="00AA1EF2">
      <w:pPr>
        <w:spacing w:after="0" w:line="240" w:lineRule="auto"/>
        <w:jc w:val="both"/>
        <w:rPr>
          <w:rFonts w:ascii="Times New Roman" w:hAnsi="Times New Roman" w:cs="Times New Roman"/>
          <w:sz w:val="24"/>
          <w:szCs w:val="24"/>
        </w:rPr>
      </w:pPr>
      <w:bookmarkStart w:id="0" w:name="_Hlk534656323"/>
      <w:r w:rsidRPr="0088141F">
        <w:rPr>
          <w:rFonts w:ascii="Times New Roman" w:hAnsi="Times New Roman" w:cs="Times New Roman"/>
          <w:sz w:val="24"/>
          <w:szCs w:val="24"/>
        </w:rPr>
        <w:t xml:space="preserve">O estado de Mato Grosso atingiu elevados índices de produtividade tornando-se </w:t>
      </w:r>
      <w:r w:rsidR="00663748" w:rsidRPr="0088141F">
        <w:rPr>
          <w:rFonts w:ascii="Times New Roman" w:hAnsi="Times New Roman" w:cs="Times New Roman"/>
          <w:sz w:val="24"/>
          <w:szCs w:val="24"/>
        </w:rPr>
        <w:t xml:space="preserve">um </w:t>
      </w:r>
      <w:r w:rsidR="00944565" w:rsidRPr="0088141F">
        <w:rPr>
          <w:rFonts w:ascii="Times New Roman" w:hAnsi="Times New Roman" w:cs="Times New Roman"/>
          <w:sz w:val="24"/>
          <w:szCs w:val="24"/>
        </w:rPr>
        <w:t>dos principais estados produtores</w:t>
      </w:r>
      <w:r w:rsidRPr="0088141F">
        <w:rPr>
          <w:rFonts w:ascii="Times New Roman" w:hAnsi="Times New Roman" w:cs="Times New Roman"/>
          <w:sz w:val="24"/>
          <w:szCs w:val="24"/>
        </w:rPr>
        <w:t xml:space="preserve"> de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do pa</w:t>
      </w:r>
      <w:r w:rsidR="00663748" w:rsidRPr="0088141F">
        <w:rPr>
          <w:rFonts w:ascii="Times New Roman" w:hAnsi="Times New Roman" w:cs="Times New Roman"/>
          <w:sz w:val="24"/>
          <w:szCs w:val="24"/>
        </w:rPr>
        <w:t>í</w:t>
      </w:r>
      <w:r w:rsidRPr="0088141F">
        <w:rPr>
          <w:rFonts w:ascii="Times New Roman" w:hAnsi="Times New Roman" w:cs="Times New Roman"/>
          <w:sz w:val="24"/>
          <w:szCs w:val="24"/>
        </w:rPr>
        <w:t xml:space="preserve">s. Com isso, sua estrutura produtiva agropecuária tem se assumido, cada vez mais, características de concentração fundiária e de especialização produtiva, baseada na </w:t>
      </w:r>
      <w:r w:rsidR="00821082" w:rsidRPr="0088141F">
        <w:rPr>
          <w:rFonts w:ascii="Times New Roman" w:hAnsi="Times New Roman" w:cs="Times New Roman"/>
          <w:sz w:val="24"/>
          <w:szCs w:val="24"/>
        </w:rPr>
        <w:t>intensificação</w:t>
      </w:r>
      <w:r w:rsidRPr="0088141F">
        <w:rPr>
          <w:rFonts w:ascii="Times New Roman" w:hAnsi="Times New Roman" w:cs="Times New Roman"/>
          <w:sz w:val="24"/>
          <w:szCs w:val="24"/>
        </w:rPr>
        <w:t xml:space="preserve"> do uso de capital. </w:t>
      </w:r>
      <w:r w:rsidR="00821082" w:rsidRPr="0088141F">
        <w:rPr>
          <w:rFonts w:ascii="Times New Roman" w:hAnsi="Times New Roman" w:cs="Times New Roman"/>
          <w:sz w:val="24"/>
          <w:szCs w:val="24"/>
        </w:rPr>
        <w:t>Todavia, tais mudanças repercutem sobre o espaço rural</w:t>
      </w:r>
      <w:r w:rsidR="00663748" w:rsidRPr="0088141F">
        <w:rPr>
          <w:rFonts w:ascii="Times New Roman" w:hAnsi="Times New Roman" w:cs="Times New Roman"/>
          <w:sz w:val="24"/>
          <w:szCs w:val="24"/>
        </w:rPr>
        <w:t xml:space="preserve">, com impactos sobre </w:t>
      </w:r>
      <w:r w:rsidR="00905263" w:rsidRPr="0088141F">
        <w:rPr>
          <w:rFonts w:ascii="Times New Roman" w:hAnsi="Times New Roman" w:cs="Times New Roman"/>
          <w:sz w:val="24"/>
          <w:szCs w:val="24"/>
        </w:rPr>
        <w:t>o uso da terra</w:t>
      </w:r>
      <w:r w:rsidR="00663748" w:rsidRPr="0088141F">
        <w:rPr>
          <w:rFonts w:ascii="Times New Roman" w:hAnsi="Times New Roman" w:cs="Times New Roman"/>
          <w:sz w:val="24"/>
          <w:szCs w:val="24"/>
        </w:rPr>
        <w:t xml:space="preserve"> e o meio ambiente</w:t>
      </w:r>
      <w:r w:rsidR="00821082" w:rsidRPr="0088141F">
        <w:rPr>
          <w:rFonts w:ascii="Times New Roman" w:hAnsi="Times New Roman" w:cs="Times New Roman"/>
          <w:sz w:val="24"/>
          <w:szCs w:val="24"/>
        </w:rPr>
        <w:t xml:space="preserve">. </w:t>
      </w:r>
      <w:r w:rsidR="00FA433F" w:rsidRPr="0088141F">
        <w:rPr>
          <w:rFonts w:ascii="Times New Roman" w:hAnsi="Times New Roman" w:cs="Times New Roman"/>
          <w:sz w:val="24"/>
          <w:szCs w:val="24"/>
        </w:rPr>
        <w:t>O</w:t>
      </w:r>
      <w:r w:rsidR="005B6DFC" w:rsidRPr="0088141F">
        <w:rPr>
          <w:rFonts w:ascii="Times New Roman" w:hAnsi="Times New Roman" w:cs="Times New Roman"/>
          <w:sz w:val="24"/>
          <w:szCs w:val="24"/>
        </w:rPr>
        <w:t xml:space="preserve"> presente artigo</w:t>
      </w:r>
      <w:r w:rsidR="00821082" w:rsidRPr="0088141F">
        <w:rPr>
          <w:rFonts w:ascii="Times New Roman" w:hAnsi="Times New Roman" w:cs="Times New Roman"/>
          <w:sz w:val="24"/>
          <w:szCs w:val="24"/>
        </w:rPr>
        <w:t xml:space="preserve"> tem como objetivo discutir aspecto da </w:t>
      </w:r>
      <w:r w:rsidR="00E000B0" w:rsidRPr="0088141F">
        <w:rPr>
          <w:rFonts w:ascii="Times New Roman" w:hAnsi="Times New Roman" w:cs="Times New Roman"/>
          <w:sz w:val="24"/>
          <w:szCs w:val="24"/>
        </w:rPr>
        <w:t>expansão produ</w:t>
      </w:r>
      <w:r w:rsidR="00821082" w:rsidRPr="0088141F">
        <w:rPr>
          <w:rFonts w:ascii="Times New Roman" w:hAnsi="Times New Roman" w:cs="Times New Roman"/>
          <w:sz w:val="24"/>
          <w:szCs w:val="24"/>
        </w:rPr>
        <w:t xml:space="preserve">tiva </w:t>
      </w:r>
      <w:r w:rsidR="00E000B0" w:rsidRPr="0088141F">
        <w:rPr>
          <w:rFonts w:ascii="Times New Roman" w:hAnsi="Times New Roman" w:cs="Times New Roman"/>
          <w:sz w:val="24"/>
          <w:szCs w:val="24"/>
        </w:rPr>
        <w:t>agropecuária no Mato Grosso</w:t>
      </w:r>
      <w:r w:rsidR="00821082" w:rsidRPr="0088141F">
        <w:rPr>
          <w:rFonts w:ascii="Times New Roman" w:hAnsi="Times New Roman" w:cs="Times New Roman"/>
          <w:sz w:val="24"/>
          <w:szCs w:val="24"/>
        </w:rPr>
        <w:t xml:space="preserve"> e</w:t>
      </w:r>
      <w:r w:rsidR="00663748" w:rsidRPr="0088141F">
        <w:rPr>
          <w:rFonts w:ascii="Times New Roman" w:hAnsi="Times New Roman" w:cs="Times New Roman"/>
          <w:sz w:val="24"/>
          <w:szCs w:val="24"/>
        </w:rPr>
        <w:t xml:space="preserve"> seus impactos fundiários e ambientais</w:t>
      </w:r>
      <w:r w:rsidR="00821082" w:rsidRPr="0088141F">
        <w:rPr>
          <w:rFonts w:ascii="Times New Roman" w:hAnsi="Times New Roman" w:cs="Times New Roman"/>
          <w:sz w:val="24"/>
          <w:szCs w:val="24"/>
        </w:rPr>
        <w:t xml:space="preserve">. Utiliza-se como fundamento analítico o método histórico-estrutural, </w:t>
      </w:r>
      <w:r w:rsidR="00DC2051" w:rsidRPr="0088141F">
        <w:rPr>
          <w:rFonts w:ascii="Times New Roman" w:hAnsi="Times New Roman" w:cs="Times New Roman"/>
          <w:sz w:val="24"/>
          <w:szCs w:val="24"/>
        </w:rPr>
        <w:t>através d</w:t>
      </w:r>
      <w:r w:rsidR="00FA433F" w:rsidRPr="0088141F">
        <w:rPr>
          <w:rFonts w:ascii="Times New Roman" w:hAnsi="Times New Roman" w:cs="Times New Roman"/>
          <w:sz w:val="24"/>
          <w:szCs w:val="24"/>
        </w:rPr>
        <w:t>o estudo d</w:t>
      </w:r>
      <w:r w:rsidR="00DC2051" w:rsidRPr="0088141F">
        <w:rPr>
          <w:rFonts w:ascii="Times New Roman" w:hAnsi="Times New Roman" w:cs="Times New Roman"/>
          <w:sz w:val="24"/>
          <w:szCs w:val="24"/>
        </w:rPr>
        <w:t xml:space="preserve">e variáveis consideradas determinantes da produção, desde o início dos anos 2000. </w:t>
      </w:r>
      <w:r w:rsidR="00FA433F" w:rsidRPr="0088141F">
        <w:rPr>
          <w:rFonts w:ascii="Times New Roman" w:hAnsi="Times New Roman" w:cs="Times New Roman"/>
          <w:sz w:val="24"/>
          <w:szCs w:val="24"/>
        </w:rPr>
        <w:t>A análise r</w:t>
      </w:r>
      <w:r w:rsidR="00DC2051" w:rsidRPr="0088141F">
        <w:rPr>
          <w:rFonts w:ascii="Times New Roman" w:hAnsi="Times New Roman" w:cs="Times New Roman"/>
          <w:sz w:val="24"/>
          <w:szCs w:val="24"/>
        </w:rPr>
        <w:t xml:space="preserve">eforçou </w:t>
      </w:r>
      <w:r w:rsidR="00905263" w:rsidRPr="0088141F">
        <w:rPr>
          <w:rFonts w:ascii="Times New Roman" w:hAnsi="Times New Roman" w:cs="Times New Roman"/>
          <w:sz w:val="24"/>
          <w:szCs w:val="24"/>
        </w:rPr>
        <w:t>que</w:t>
      </w:r>
      <w:r w:rsidR="00DC2051" w:rsidRPr="0088141F">
        <w:rPr>
          <w:rFonts w:ascii="Times New Roman" w:hAnsi="Times New Roman" w:cs="Times New Roman"/>
          <w:sz w:val="24"/>
          <w:szCs w:val="24"/>
        </w:rPr>
        <w:t xml:space="preserve"> </w:t>
      </w:r>
      <w:r w:rsidR="00905263" w:rsidRPr="0088141F">
        <w:rPr>
          <w:rFonts w:ascii="Times New Roman" w:hAnsi="Times New Roman" w:cs="Times New Roman"/>
          <w:sz w:val="24"/>
          <w:szCs w:val="24"/>
        </w:rPr>
        <w:t xml:space="preserve">há uma </w:t>
      </w:r>
      <w:r w:rsidR="00DC2051" w:rsidRPr="0088141F">
        <w:rPr>
          <w:rFonts w:ascii="Times New Roman" w:hAnsi="Times New Roman" w:cs="Times New Roman"/>
          <w:sz w:val="24"/>
          <w:szCs w:val="24"/>
        </w:rPr>
        <w:t xml:space="preserve">rigidez da estrutura produtiva </w:t>
      </w:r>
      <w:r w:rsidR="00905263" w:rsidRPr="0088141F">
        <w:rPr>
          <w:rFonts w:ascii="Times New Roman" w:hAnsi="Times New Roman" w:cs="Times New Roman"/>
          <w:sz w:val="24"/>
          <w:szCs w:val="24"/>
        </w:rPr>
        <w:t>que impacta no</w:t>
      </w:r>
      <w:r w:rsidR="00DC2051" w:rsidRPr="0088141F">
        <w:rPr>
          <w:rFonts w:ascii="Times New Roman" w:hAnsi="Times New Roman" w:cs="Times New Roman"/>
          <w:sz w:val="24"/>
          <w:szCs w:val="24"/>
        </w:rPr>
        <w:t xml:space="preserve"> aumento da concentração fundiária</w:t>
      </w:r>
      <w:r w:rsidR="00AA1EF2" w:rsidRPr="0088141F">
        <w:rPr>
          <w:rFonts w:ascii="Times New Roman" w:hAnsi="Times New Roman" w:cs="Times New Roman"/>
          <w:sz w:val="24"/>
          <w:szCs w:val="24"/>
        </w:rPr>
        <w:t xml:space="preserve"> e </w:t>
      </w:r>
      <w:r w:rsidR="00905263" w:rsidRPr="0088141F">
        <w:rPr>
          <w:rFonts w:ascii="Times New Roman" w:hAnsi="Times New Roman" w:cs="Times New Roman"/>
          <w:sz w:val="24"/>
          <w:szCs w:val="24"/>
        </w:rPr>
        <w:t xml:space="preserve">no uso intensivo de capital </w:t>
      </w:r>
      <w:r w:rsidR="00AA1EF2" w:rsidRPr="0088141F">
        <w:rPr>
          <w:rFonts w:ascii="Times New Roman" w:hAnsi="Times New Roman" w:cs="Times New Roman"/>
          <w:sz w:val="24"/>
          <w:szCs w:val="24"/>
        </w:rPr>
        <w:t>com efeito n</w:t>
      </w:r>
      <w:r w:rsidR="00DC2051" w:rsidRPr="0088141F">
        <w:rPr>
          <w:rFonts w:ascii="Times New Roman" w:hAnsi="Times New Roman" w:cs="Times New Roman"/>
          <w:sz w:val="24"/>
          <w:szCs w:val="24"/>
        </w:rPr>
        <w:t xml:space="preserve">a elevação dos preços </w:t>
      </w:r>
      <w:r w:rsidR="00AA1EF2" w:rsidRPr="0088141F">
        <w:rPr>
          <w:rFonts w:ascii="Times New Roman" w:hAnsi="Times New Roman" w:cs="Times New Roman"/>
          <w:sz w:val="24"/>
          <w:szCs w:val="24"/>
        </w:rPr>
        <w:t>da terra</w:t>
      </w:r>
      <w:r w:rsidR="00905263" w:rsidRPr="0088141F">
        <w:rPr>
          <w:rFonts w:ascii="Times New Roman" w:hAnsi="Times New Roman" w:cs="Times New Roman"/>
          <w:sz w:val="24"/>
          <w:szCs w:val="24"/>
        </w:rPr>
        <w:t>, no uso de insumos de produção, m</w:t>
      </w:r>
      <w:r w:rsidR="00905263" w:rsidRPr="0088141F">
        <w:rPr>
          <w:rFonts w:ascii="Times New Roman" w:eastAsia="Times New Roman" w:hAnsi="Times New Roman" w:cs="Times New Roman"/>
          <w:sz w:val="24"/>
          <w:szCs w:val="24"/>
        </w:rPr>
        <w:t>á</w:t>
      </w:r>
      <w:r w:rsidR="00905263" w:rsidRPr="0088141F">
        <w:rPr>
          <w:rFonts w:ascii="Times New Roman" w:hAnsi="Times New Roman" w:cs="Times New Roman"/>
          <w:sz w:val="24"/>
          <w:szCs w:val="24"/>
        </w:rPr>
        <w:t xml:space="preserve">quinas e equipamentos e no avanço de lavouras temporárias, com demanda vinculada ao mercado externo, que </w:t>
      </w:r>
      <w:r w:rsidR="00AA1EF2" w:rsidRPr="0088141F">
        <w:rPr>
          <w:rFonts w:ascii="Times New Roman" w:hAnsi="Times New Roman" w:cs="Times New Roman"/>
          <w:sz w:val="24"/>
          <w:szCs w:val="24"/>
        </w:rPr>
        <w:t>refle</w:t>
      </w:r>
      <w:r w:rsidR="00905263" w:rsidRPr="0088141F">
        <w:rPr>
          <w:rFonts w:ascii="Times New Roman" w:hAnsi="Times New Roman" w:cs="Times New Roman"/>
          <w:sz w:val="24"/>
          <w:szCs w:val="24"/>
        </w:rPr>
        <w:t>tem</w:t>
      </w:r>
      <w:r w:rsidR="00AA1EF2" w:rsidRPr="0088141F">
        <w:rPr>
          <w:rFonts w:ascii="Times New Roman" w:hAnsi="Times New Roman" w:cs="Times New Roman"/>
          <w:sz w:val="24"/>
          <w:szCs w:val="24"/>
        </w:rPr>
        <w:t xml:space="preserve"> em </w:t>
      </w:r>
      <w:r w:rsidR="005B6DFC" w:rsidRPr="0088141F">
        <w:rPr>
          <w:rFonts w:ascii="Times New Roman" w:hAnsi="Times New Roman" w:cs="Times New Roman"/>
          <w:sz w:val="24"/>
          <w:szCs w:val="24"/>
        </w:rPr>
        <w:t xml:space="preserve">externalidades ambientais negativas, </w:t>
      </w:r>
      <w:r w:rsidR="00AA1EF2" w:rsidRPr="0088141F">
        <w:rPr>
          <w:rFonts w:ascii="Times New Roman" w:hAnsi="Times New Roman" w:cs="Times New Roman"/>
          <w:sz w:val="24"/>
          <w:szCs w:val="24"/>
        </w:rPr>
        <w:t xml:space="preserve">em especial, </w:t>
      </w:r>
      <w:r w:rsidR="00905263" w:rsidRPr="0088141F">
        <w:rPr>
          <w:rFonts w:ascii="Times New Roman" w:hAnsi="Times New Roman" w:cs="Times New Roman"/>
          <w:sz w:val="24"/>
          <w:szCs w:val="24"/>
        </w:rPr>
        <w:t>no aumento do</w:t>
      </w:r>
      <w:r w:rsidR="00AA1EF2" w:rsidRPr="0088141F">
        <w:rPr>
          <w:rFonts w:ascii="Times New Roman" w:hAnsi="Times New Roman" w:cs="Times New Roman"/>
          <w:sz w:val="24"/>
          <w:szCs w:val="24"/>
        </w:rPr>
        <w:t xml:space="preserve"> uso de agrotóxicos</w:t>
      </w:r>
      <w:r w:rsidR="005B6DFC" w:rsidRPr="0088141F">
        <w:rPr>
          <w:rFonts w:ascii="Times New Roman" w:hAnsi="Times New Roman" w:cs="Times New Roman"/>
          <w:sz w:val="24"/>
          <w:szCs w:val="24"/>
        </w:rPr>
        <w:t xml:space="preserve">. </w:t>
      </w:r>
      <w:r w:rsidR="00AA1EF2" w:rsidRPr="0088141F">
        <w:rPr>
          <w:rFonts w:ascii="Times New Roman" w:hAnsi="Times New Roman" w:cs="Times New Roman"/>
          <w:sz w:val="24"/>
          <w:szCs w:val="24"/>
        </w:rPr>
        <w:t>Finalmente, não se deixou de observar que tais condições se apresentam como limitantes do desenvolvimento - e não apenas crescimento – local.</w:t>
      </w:r>
    </w:p>
    <w:bookmarkEnd w:id="0"/>
    <w:p w14:paraId="24DC23A3" w14:textId="77777777" w:rsidR="00667BE9" w:rsidRPr="0088141F" w:rsidRDefault="0082389E">
      <w:pPr>
        <w:spacing w:after="0" w:line="240" w:lineRule="auto"/>
        <w:jc w:val="both"/>
        <w:rPr>
          <w:rFonts w:ascii="Times New Roman" w:eastAsia="Times New Roman" w:hAnsi="Times New Roman" w:cs="Times New Roman"/>
          <w:sz w:val="24"/>
          <w:szCs w:val="24"/>
        </w:rPr>
      </w:pPr>
      <w:r w:rsidRPr="0088141F">
        <w:rPr>
          <w:rFonts w:ascii="Times New Roman" w:eastAsia="Times New Roman" w:hAnsi="Times New Roman" w:cs="Times New Roman"/>
          <w:b/>
          <w:sz w:val="24"/>
          <w:szCs w:val="24"/>
        </w:rPr>
        <w:t>Palavras-chave</w:t>
      </w:r>
      <w:r w:rsidRPr="0088141F">
        <w:rPr>
          <w:rFonts w:ascii="Times New Roman" w:eastAsia="Times New Roman" w:hAnsi="Times New Roman" w:cs="Times New Roman"/>
          <w:sz w:val="24"/>
          <w:szCs w:val="24"/>
        </w:rPr>
        <w:t xml:space="preserve">: </w:t>
      </w:r>
      <w:r w:rsidR="00AA1EF2" w:rsidRPr="0088141F">
        <w:rPr>
          <w:rFonts w:ascii="Times New Roman" w:eastAsia="Times New Roman" w:hAnsi="Times New Roman" w:cs="Times New Roman"/>
          <w:sz w:val="24"/>
          <w:szCs w:val="24"/>
        </w:rPr>
        <w:t xml:space="preserve">Especialização </w:t>
      </w:r>
      <w:r w:rsidR="00905263" w:rsidRPr="0088141F">
        <w:rPr>
          <w:rFonts w:ascii="Times New Roman" w:eastAsia="Times New Roman" w:hAnsi="Times New Roman" w:cs="Times New Roman"/>
          <w:sz w:val="24"/>
          <w:szCs w:val="24"/>
        </w:rPr>
        <w:t>P</w:t>
      </w:r>
      <w:r w:rsidR="00AA1EF2" w:rsidRPr="0088141F">
        <w:rPr>
          <w:rFonts w:ascii="Times New Roman" w:eastAsia="Times New Roman" w:hAnsi="Times New Roman" w:cs="Times New Roman"/>
          <w:sz w:val="24"/>
          <w:szCs w:val="24"/>
        </w:rPr>
        <w:t xml:space="preserve">rodutiva, </w:t>
      </w:r>
      <w:r w:rsidR="00905263" w:rsidRPr="0088141F">
        <w:rPr>
          <w:rFonts w:ascii="Times New Roman" w:eastAsia="Times New Roman" w:hAnsi="Times New Roman" w:cs="Times New Roman"/>
          <w:sz w:val="24"/>
          <w:szCs w:val="24"/>
        </w:rPr>
        <w:t>C</w:t>
      </w:r>
      <w:r w:rsidR="00AA1EF2" w:rsidRPr="0088141F">
        <w:rPr>
          <w:rFonts w:ascii="Times New Roman" w:eastAsia="Times New Roman" w:hAnsi="Times New Roman" w:cs="Times New Roman"/>
          <w:sz w:val="24"/>
          <w:szCs w:val="24"/>
        </w:rPr>
        <w:t xml:space="preserve">oncentração </w:t>
      </w:r>
      <w:r w:rsidR="00905263" w:rsidRPr="0088141F">
        <w:rPr>
          <w:rFonts w:ascii="Times New Roman" w:eastAsia="Times New Roman" w:hAnsi="Times New Roman" w:cs="Times New Roman"/>
          <w:sz w:val="24"/>
          <w:szCs w:val="24"/>
        </w:rPr>
        <w:t>F</w:t>
      </w:r>
      <w:r w:rsidR="00AA1EF2" w:rsidRPr="0088141F">
        <w:rPr>
          <w:rFonts w:ascii="Times New Roman" w:eastAsia="Times New Roman" w:hAnsi="Times New Roman" w:cs="Times New Roman"/>
          <w:sz w:val="24"/>
          <w:szCs w:val="24"/>
        </w:rPr>
        <w:t xml:space="preserve">undiária, </w:t>
      </w:r>
      <w:r w:rsidR="00905263" w:rsidRPr="0088141F">
        <w:rPr>
          <w:rFonts w:ascii="Times New Roman" w:eastAsia="Times New Roman" w:hAnsi="Times New Roman" w:cs="Times New Roman"/>
          <w:sz w:val="24"/>
          <w:szCs w:val="24"/>
        </w:rPr>
        <w:t>M</w:t>
      </w:r>
      <w:r w:rsidR="00AA1EF2" w:rsidRPr="0088141F">
        <w:rPr>
          <w:rFonts w:ascii="Times New Roman" w:eastAsia="Times New Roman" w:hAnsi="Times New Roman" w:cs="Times New Roman"/>
          <w:sz w:val="24"/>
          <w:szCs w:val="24"/>
        </w:rPr>
        <w:t xml:space="preserve">eio </w:t>
      </w:r>
      <w:r w:rsidR="00905263" w:rsidRPr="0088141F">
        <w:rPr>
          <w:rFonts w:ascii="Times New Roman" w:eastAsia="Times New Roman" w:hAnsi="Times New Roman" w:cs="Times New Roman"/>
          <w:sz w:val="24"/>
          <w:szCs w:val="24"/>
        </w:rPr>
        <w:t>A</w:t>
      </w:r>
      <w:r w:rsidR="00AA1EF2" w:rsidRPr="0088141F">
        <w:rPr>
          <w:rFonts w:ascii="Times New Roman" w:eastAsia="Times New Roman" w:hAnsi="Times New Roman" w:cs="Times New Roman"/>
          <w:sz w:val="24"/>
          <w:szCs w:val="24"/>
        </w:rPr>
        <w:t xml:space="preserve">mbiente, </w:t>
      </w:r>
      <w:r w:rsidR="00905263" w:rsidRPr="0088141F">
        <w:rPr>
          <w:rFonts w:ascii="Times New Roman" w:eastAsia="Times New Roman" w:hAnsi="Times New Roman" w:cs="Times New Roman"/>
          <w:sz w:val="24"/>
          <w:szCs w:val="24"/>
        </w:rPr>
        <w:t>D</w:t>
      </w:r>
      <w:r w:rsidR="00AA1EF2" w:rsidRPr="0088141F">
        <w:rPr>
          <w:rFonts w:ascii="Times New Roman" w:eastAsia="Times New Roman" w:hAnsi="Times New Roman" w:cs="Times New Roman"/>
          <w:sz w:val="24"/>
          <w:szCs w:val="24"/>
        </w:rPr>
        <w:t>esenvolvimento.</w:t>
      </w:r>
    </w:p>
    <w:p w14:paraId="2C4FE21B" w14:textId="77777777" w:rsidR="00D4308E" w:rsidRDefault="00D4308E">
      <w:pPr>
        <w:spacing w:after="0" w:line="240" w:lineRule="auto"/>
        <w:jc w:val="both"/>
        <w:rPr>
          <w:rFonts w:ascii="Times New Roman" w:eastAsia="Times New Roman" w:hAnsi="Times New Roman" w:cs="Times New Roman"/>
          <w:b/>
          <w:sz w:val="24"/>
          <w:szCs w:val="24"/>
          <w:lang w:val="en-US"/>
        </w:rPr>
      </w:pPr>
    </w:p>
    <w:p w14:paraId="0FA20100" w14:textId="77777777" w:rsidR="00667BE9" w:rsidRPr="0088141F" w:rsidRDefault="0082389E">
      <w:pPr>
        <w:spacing w:after="0" w:line="240" w:lineRule="auto"/>
        <w:jc w:val="both"/>
        <w:rPr>
          <w:rFonts w:ascii="Times New Roman" w:eastAsia="Times New Roman" w:hAnsi="Times New Roman" w:cs="Times New Roman"/>
          <w:b/>
          <w:sz w:val="24"/>
          <w:szCs w:val="24"/>
          <w:lang w:val="en-US"/>
        </w:rPr>
      </w:pPr>
      <w:r w:rsidRPr="0088141F">
        <w:rPr>
          <w:rFonts w:ascii="Times New Roman" w:eastAsia="Times New Roman" w:hAnsi="Times New Roman" w:cs="Times New Roman"/>
          <w:b/>
          <w:sz w:val="24"/>
          <w:szCs w:val="24"/>
          <w:lang w:val="en-US"/>
        </w:rPr>
        <w:t>Abstract</w:t>
      </w:r>
    </w:p>
    <w:p w14:paraId="550D12A6" w14:textId="69CE3734" w:rsidR="00905263" w:rsidRPr="0088141F" w:rsidRDefault="00FA433F">
      <w:pPr>
        <w:spacing w:after="0" w:line="240" w:lineRule="auto"/>
        <w:jc w:val="both"/>
        <w:rPr>
          <w:rFonts w:ascii="Times New Roman" w:eastAsia="Times New Roman" w:hAnsi="Times New Roman" w:cs="Times New Roman"/>
          <w:b/>
          <w:i/>
          <w:sz w:val="20"/>
          <w:szCs w:val="20"/>
          <w:lang w:val="en-US"/>
        </w:rPr>
      </w:pPr>
      <w:r w:rsidRPr="0088141F">
        <w:rPr>
          <w:rFonts w:ascii="Times New Roman" w:eastAsia="Times New Roman" w:hAnsi="Times New Roman" w:cs="Times New Roman"/>
          <w:sz w:val="24"/>
          <w:szCs w:val="24"/>
          <w:lang w:val="en-US"/>
        </w:rPr>
        <w:t xml:space="preserve">The state of Mato Grosso reached high levels of productivity becoming one of the main </w:t>
      </w:r>
      <w:r w:rsidR="008F0378" w:rsidRPr="0088141F">
        <w:rPr>
          <w:rFonts w:ascii="Times New Roman" w:eastAsia="Times New Roman" w:hAnsi="Times New Roman" w:cs="Times New Roman"/>
          <w:sz w:val="24"/>
          <w:szCs w:val="24"/>
          <w:lang w:val="en-US"/>
        </w:rPr>
        <w:t>commodities</w:t>
      </w:r>
      <w:r w:rsidRPr="0088141F">
        <w:rPr>
          <w:rFonts w:ascii="Times New Roman" w:eastAsia="Times New Roman" w:hAnsi="Times New Roman" w:cs="Times New Roman"/>
          <w:sz w:val="24"/>
          <w:szCs w:val="24"/>
          <w:lang w:val="en-US"/>
        </w:rPr>
        <w:t xml:space="preserve"> producing states in the country. As a result, its agricultural productive structure has increasingly assumed characteristics of land concentration and productive specialization, based on the intensification of the use of capital. However, such changes have repercussions on rural areas, with impacts on land use and the environment. This article aims to discuss aspects of agricultural production expansion in Mato Grosso and its land and environmental impacts. The historical-structural method is used as an analytical foundation, through the study of variables considered determinants of production, since the early 2000s. The analysis reinforced that there is a rigidity of the productive structure that impacts on the increase of land concentration and intensive use of capital with effect on the rise of land prices, on the use of production inputs, machines and equipment and on the advancement of temporary crops, with demand linked to the external market, which reflect in negative environmental externalities, in </w:t>
      </w:r>
      <w:r w:rsidRPr="0088141F">
        <w:rPr>
          <w:rFonts w:ascii="Times New Roman" w:eastAsia="Times New Roman" w:hAnsi="Times New Roman" w:cs="Times New Roman"/>
          <w:sz w:val="24"/>
          <w:szCs w:val="24"/>
          <w:lang w:val="en-US"/>
        </w:rPr>
        <w:lastRenderedPageBreak/>
        <w:t>particular, in the increase in the use of pesticides. Finally, it has not been overlooked that these conditions present themselves as limiting local development - and not just growth -.</w:t>
      </w:r>
    </w:p>
    <w:p w14:paraId="7191463D" w14:textId="77777777" w:rsidR="00667BE9" w:rsidRPr="0088141F" w:rsidRDefault="0082389E" w:rsidP="00905263">
      <w:pPr>
        <w:tabs>
          <w:tab w:val="left" w:pos="1425"/>
        </w:tabs>
        <w:spacing w:after="0" w:line="240" w:lineRule="auto"/>
        <w:jc w:val="both"/>
        <w:rPr>
          <w:rFonts w:ascii="Times New Roman" w:eastAsia="Times New Roman" w:hAnsi="Times New Roman" w:cs="Times New Roman"/>
          <w:sz w:val="24"/>
          <w:szCs w:val="24"/>
          <w:lang w:val="en-US"/>
        </w:rPr>
      </w:pPr>
      <w:r w:rsidRPr="0088141F">
        <w:rPr>
          <w:rFonts w:ascii="Times New Roman" w:eastAsia="Times New Roman" w:hAnsi="Times New Roman" w:cs="Times New Roman"/>
          <w:b/>
          <w:sz w:val="24"/>
          <w:szCs w:val="24"/>
          <w:lang w:val="en-US"/>
        </w:rPr>
        <w:t>Key words</w:t>
      </w:r>
      <w:r w:rsidRPr="0088141F">
        <w:rPr>
          <w:rFonts w:ascii="Times New Roman" w:eastAsia="Times New Roman" w:hAnsi="Times New Roman" w:cs="Times New Roman"/>
          <w:sz w:val="24"/>
          <w:szCs w:val="24"/>
          <w:lang w:val="en-US"/>
        </w:rPr>
        <w:t xml:space="preserve">: </w:t>
      </w:r>
      <w:r w:rsidR="00D813AF" w:rsidRPr="0088141F">
        <w:rPr>
          <w:rFonts w:ascii="Times New Roman" w:eastAsia="Times New Roman" w:hAnsi="Times New Roman" w:cs="Times New Roman"/>
          <w:sz w:val="24"/>
          <w:szCs w:val="24"/>
          <w:lang w:val="en-US"/>
        </w:rPr>
        <w:t>Productive Specialization, Land Concentration, Environment, Development.</w:t>
      </w:r>
    </w:p>
    <w:p w14:paraId="6D408D7D" w14:textId="78D034F1" w:rsidR="00667BE9" w:rsidRDefault="00667BE9" w:rsidP="00D813AF">
      <w:pPr>
        <w:tabs>
          <w:tab w:val="left" w:pos="2730"/>
        </w:tabs>
        <w:spacing w:after="0" w:line="240" w:lineRule="auto"/>
        <w:jc w:val="both"/>
        <w:rPr>
          <w:rFonts w:ascii="Times New Roman" w:eastAsia="Times New Roman" w:hAnsi="Times New Roman" w:cs="Times New Roman"/>
          <w:sz w:val="24"/>
          <w:szCs w:val="24"/>
          <w:lang w:val="en-US"/>
        </w:rPr>
      </w:pPr>
    </w:p>
    <w:p w14:paraId="27A96D7E" w14:textId="36D60941" w:rsidR="001D5EEE" w:rsidRPr="00AB2913" w:rsidRDefault="001D5EEE" w:rsidP="001D5EEE">
      <w:pPr>
        <w:spacing w:after="0" w:line="240" w:lineRule="auto"/>
        <w:jc w:val="both"/>
        <w:rPr>
          <w:rFonts w:ascii="Times New Roman" w:eastAsia="Times New Roman" w:hAnsi="Times New Roman" w:cs="Times New Roman"/>
          <w:b/>
          <w:sz w:val="24"/>
          <w:szCs w:val="24"/>
          <w:lang w:val="es-419"/>
        </w:rPr>
      </w:pPr>
      <w:r w:rsidRPr="00AB2913">
        <w:rPr>
          <w:rFonts w:ascii="Times New Roman" w:eastAsia="Times New Roman" w:hAnsi="Times New Roman" w:cs="Times New Roman"/>
          <w:b/>
          <w:sz w:val="24"/>
          <w:szCs w:val="24"/>
          <w:lang w:val="es-419"/>
        </w:rPr>
        <w:t>R</w:t>
      </w:r>
      <w:r w:rsidRPr="00AB2913">
        <w:rPr>
          <w:rFonts w:ascii="Times New Roman" w:eastAsia="Times New Roman" w:hAnsi="Times New Roman" w:cs="Times New Roman"/>
          <w:b/>
          <w:sz w:val="24"/>
          <w:szCs w:val="24"/>
          <w:lang w:val="es-419"/>
        </w:rPr>
        <w:t>esumen</w:t>
      </w:r>
    </w:p>
    <w:p w14:paraId="668BF1F1" w14:textId="70EDBEF1" w:rsidR="00016D16" w:rsidRPr="00AB2913" w:rsidRDefault="00016D16" w:rsidP="001D5EEE">
      <w:pPr>
        <w:spacing w:after="0" w:line="240" w:lineRule="auto"/>
        <w:jc w:val="both"/>
        <w:rPr>
          <w:rFonts w:ascii="Times New Roman" w:hAnsi="Times New Roman" w:cs="Times New Roman"/>
          <w:sz w:val="24"/>
          <w:szCs w:val="24"/>
          <w:lang w:val="es-419"/>
        </w:rPr>
      </w:pPr>
      <w:r w:rsidRPr="00AB2913">
        <w:rPr>
          <w:rFonts w:ascii="Times New Roman" w:hAnsi="Times New Roman" w:cs="Times New Roman"/>
          <w:sz w:val="24"/>
          <w:szCs w:val="24"/>
          <w:lang w:val="es-419"/>
        </w:rPr>
        <w:t xml:space="preserve">El estado de Mato Grosso alcanzó altos niveles de productividad convirtiéndose en uno de los principales estados productores de </w:t>
      </w:r>
      <w:proofErr w:type="spellStart"/>
      <w:r w:rsidRPr="00AB2913">
        <w:rPr>
          <w:rFonts w:ascii="Times New Roman" w:hAnsi="Times New Roman" w:cs="Times New Roman"/>
          <w:i/>
          <w:iCs/>
          <w:sz w:val="24"/>
          <w:szCs w:val="24"/>
          <w:lang w:val="es-419"/>
        </w:rPr>
        <w:t>commodities</w:t>
      </w:r>
      <w:proofErr w:type="spellEnd"/>
      <w:r w:rsidRPr="00AB2913">
        <w:rPr>
          <w:rFonts w:ascii="Times New Roman" w:hAnsi="Times New Roman" w:cs="Times New Roman"/>
          <w:sz w:val="24"/>
          <w:szCs w:val="24"/>
          <w:lang w:val="es-419"/>
        </w:rPr>
        <w:t xml:space="preserve"> del país. Como resultado, su estructura productiva agropecuaria ha ido asumiendo cada vez más características de concentración territorial y especialización productiva, basadas en la intensificación del uso del capital. Sin embargo, tales cambios tienen repercusiones en las zonas rurales, con impactos en el uso del suelo y el medio ambiente. Este artículo tiene como objetivo discutir aspectos de la expansión de la producción agrícola en Mato Grosso y sus impactos ambientales y sobre la tierra. El método histórico-estructural se utiliza como fundamento analítico, a través del estudio de variables consideradas determinantes de la producción, desde principios de la década del 2000. El análisis reforzó que existe una rigidez de la estructura productiva que impacta en el incremento de la concentración y uso intensivo de la tierra. de capital con efecto en la subida de los precios de la tierra, el uso de insumos de producción, maquinaria y equipo y el avance de cultivos temporales, con demanda vinculada al mercado externo, lo que se refleja en externalidades ambientales negativas, en particular, en el incremento en el uso de plaguicidas. Finalmente, no se ha pasado por alto que estas condiciones se presentan como limitantes del desarrollo local, y no solo del crecimiento.</w:t>
      </w:r>
    </w:p>
    <w:p w14:paraId="6BC3246D" w14:textId="40F504F1" w:rsidR="00AB2913" w:rsidRPr="00AB2913" w:rsidRDefault="00AB2913" w:rsidP="001D5EEE">
      <w:pPr>
        <w:spacing w:after="0" w:line="240" w:lineRule="auto"/>
        <w:jc w:val="both"/>
        <w:rPr>
          <w:rFonts w:ascii="Times New Roman" w:hAnsi="Times New Roman" w:cs="Times New Roman"/>
          <w:sz w:val="24"/>
          <w:szCs w:val="24"/>
          <w:lang w:val="es-419"/>
        </w:rPr>
      </w:pPr>
      <w:r w:rsidRPr="00AB2913">
        <w:rPr>
          <w:rFonts w:ascii="Times New Roman" w:hAnsi="Times New Roman" w:cs="Times New Roman"/>
          <w:b/>
          <w:bCs/>
          <w:sz w:val="24"/>
          <w:szCs w:val="24"/>
          <w:lang w:val="es-419"/>
        </w:rPr>
        <w:t xml:space="preserve">Palabras </w:t>
      </w:r>
      <w:r w:rsidRPr="00AB2913">
        <w:rPr>
          <w:rFonts w:ascii="Times New Roman" w:hAnsi="Times New Roman" w:cs="Times New Roman"/>
          <w:b/>
          <w:bCs/>
          <w:sz w:val="24"/>
          <w:szCs w:val="24"/>
          <w:lang w:val="es-419"/>
        </w:rPr>
        <w:t>c</w:t>
      </w:r>
      <w:r w:rsidRPr="00AB2913">
        <w:rPr>
          <w:rFonts w:ascii="Times New Roman" w:hAnsi="Times New Roman" w:cs="Times New Roman"/>
          <w:b/>
          <w:bCs/>
          <w:sz w:val="24"/>
          <w:szCs w:val="24"/>
          <w:lang w:val="es-419"/>
        </w:rPr>
        <w:t>lave:</w:t>
      </w:r>
      <w:r w:rsidRPr="00AB2913">
        <w:rPr>
          <w:rFonts w:ascii="Times New Roman" w:hAnsi="Times New Roman" w:cs="Times New Roman"/>
          <w:sz w:val="24"/>
          <w:szCs w:val="24"/>
          <w:lang w:val="es-419"/>
        </w:rPr>
        <w:t xml:space="preserve"> </w:t>
      </w:r>
      <w:r w:rsidRPr="00AB2913">
        <w:rPr>
          <w:rFonts w:ascii="Times New Roman" w:hAnsi="Times New Roman" w:cs="Times New Roman"/>
          <w:sz w:val="24"/>
          <w:szCs w:val="24"/>
          <w:lang w:val="es-419"/>
        </w:rPr>
        <w:t>E</w:t>
      </w:r>
      <w:r w:rsidRPr="00AB2913">
        <w:rPr>
          <w:rFonts w:ascii="Times New Roman" w:hAnsi="Times New Roman" w:cs="Times New Roman"/>
          <w:sz w:val="24"/>
          <w:szCs w:val="24"/>
          <w:lang w:val="es-419"/>
        </w:rPr>
        <w:t xml:space="preserve">specialización </w:t>
      </w:r>
      <w:r w:rsidRPr="00AB2913">
        <w:rPr>
          <w:rFonts w:ascii="Times New Roman" w:hAnsi="Times New Roman" w:cs="Times New Roman"/>
          <w:sz w:val="24"/>
          <w:szCs w:val="24"/>
          <w:lang w:val="es-419"/>
        </w:rPr>
        <w:t>P</w:t>
      </w:r>
      <w:r w:rsidRPr="00AB2913">
        <w:rPr>
          <w:rFonts w:ascii="Times New Roman" w:hAnsi="Times New Roman" w:cs="Times New Roman"/>
          <w:sz w:val="24"/>
          <w:szCs w:val="24"/>
          <w:lang w:val="es-419"/>
        </w:rPr>
        <w:t xml:space="preserve">roductiva, </w:t>
      </w:r>
      <w:r w:rsidRPr="00AB2913">
        <w:rPr>
          <w:rFonts w:ascii="Times New Roman" w:hAnsi="Times New Roman" w:cs="Times New Roman"/>
          <w:sz w:val="24"/>
          <w:szCs w:val="24"/>
          <w:lang w:val="es-419"/>
        </w:rPr>
        <w:t>C</w:t>
      </w:r>
      <w:r w:rsidRPr="00AB2913">
        <w:rPr>
          <w:rFonts w:ascii="Times New Roman" w:hAnsi="Times New Roman" w:cs="Times New Roman"/>
          <w:sz w:val="24"/>
          <w:szCs w:val="24"/>
          <w:lang w:val="es-419"/>
        </w:rPr>
        <w:t xml:space="preserve">oncentración de </w:t>
      </w:r>
      <w:r w:rsidRPr="00AB2913">
        <w:rPr>
          <w:rFonts w:ascii="Times New Roman" w:hAnsi="Times New Roman" w:cs="Times New Roman"/>
          <w:sz w:val="24"/>
          <w:szCs w:val="24"/>
          <w:lang w:val="es-419"/>
        </w:rPr>
        <w:t>T</w:t>
      </w:r>
      <w:r w:rsidRPr="00AB2913">
        <w:rPr>
          <w:rFonts w:ascii="Times New Roman" w:hAnsi="Times New Roman" w:cs="Times New Roman"/>
          <w:sz w:val="24"/>
          <w:szCs w:val="24"/>
          <w:lang w:val="es-419"/>
        </w:rPr>
        <w:t xml:space="preserve">ierras, </w:t>
      </w:r>
      <w:r w:rsidRPr="00AB2913">
        <w:rPr>
          <w:rFonts w:ascii="Times New Roman" w:hAnsi="Times New Roman" w:cs="Times New Roman"/>
          <w:sz w:val="24"/>
          <w:szCs w:val="24"/>
          <w:lang w:val="es-419"/>
        </w:rPr>
        <w:t>M</w:t>
      </w:r>
      <w:r w:rsidRPr="00AB2913">
        <w:rPr>
          <w:rFonts w:ascii="Times New Roman" w:hAnsi="Times New Roman" w:cs="Times New Roman"/>
          <w:sz w:val="24"/>
          <w:szCs w:val="24"/>
          <w:lang w:val="es-419"/>
        </w:rPr>
        <w:t xml:space="preserve">edio </w:t>
      </w:r>
      <w:r w:rsidRPr="00AB2913">
        <w:rPr>
          <w:rFonts w:ascii="Times New Roman" w:hAnsi="Times New Roman" w:cs="Times New Roman"/>
          <w:sz w:val="24"/>
          <w:szCs w:val="24"/>
          <w:lang w:val="es-419"/>
        </w:rPr>
        <w:t>A</w:t>
      </w:r>
      <w:r w:rsidRPr="00AB2913">
        <w:rPr>
          <w:rFonts w:ascii="Times New Roman" w:hAnsi="Times New Roman" w:cs="Times New Roman"/>
          <w:sz w:val="24"/>
          <w:szCs w:val="24"/>
          <w:lang w:val="es-419"/>
        </w:rPr>
        <w:t xml:space="preserve">mbiente, </w:t>
      </w:r>
      <w:r w:rsidRPr="00AB2913">
        <w:rPr>
          <w:rFonts w:ascii="Times New Roman" w:hAnsi="Times New Roman" w:cs="Times New Roman"/>
          <w:sz w:val="24"/>
          <w:szCs w:val="24"/>
          <w:lang w:val="es-419"/>
        </w:rPr>
        <w:t>D</w:t>
      </w:r>
      <w:r w:rsidRPr="00AB2913">
        <w:rPr>
          <w:rFonts w:ascii="Times New Roman" w:hAnsi="Times New Roman" w:cs="Times New Roman"/>
          <w:sz w:val="24"/>
          <w:szCs w:val="24"/>
          <w:lang w:val="es-419"/>
        </w:rPr>
        <w:t>esarrollo.</w:t>
      </w:r>
    </w:p>
    <w:p w14:paraId="6703237A" w14:textId="77777777" w:rsidR="00016D16" w:rsidRPr="0088141F" w:rsidRDefault="00016D16" w:rsidP="00D813AF">
      <w:pPr>
        <w:tabs>
          <w:tab w:val="left" w:pos="2730"/>
        </w:tabs>
        <w:spacing w:after="0" w:line="240" w:lineRule="auto"/>
        <w:jc w:val="both"/>
        <w:rPr>
          <w:rFonts w:ascii="Times New Roman" w:eastAsia="Times New Roman" w:hAnsi="Times New Roman" w:cs="Times New Roman"/>
          <w:sz w:val="24"/>
          <w:szCs w:val="24"/>
          <w:lang w:val="en-US"/>
        </w:rPr>
      </w:pPr>
    </w:p>
    <w:p w14:paraId="6080F403" w14:textId="74579D05" w:rsidR="00667BE9" w:rsidRPr="0088141F" w:rsidRDefault="0082389E">
      <w:pPr>
        <w:keepNext/>
        <w:spacing w:after="0" w:line="240" w:lineRule="auto"/>
        <w:jc w:val="both"/>
        <w:rPr>
          <w:rFonts w:ascii="Times New Roman" w:eastAsia="Times New Roman" w:hAnsi="Times New Roman" w:cs="Times New Roman"/>
          <w:smallCaps/>
          <w:sz w:val="24"/>
          <w:szCs w:val="24"/>
        </w:rPr>
      </w:pPr>
      <w:r w:rsidRPr="0088141F">
        <w:rPr>
          <w:rFonts w:ascii="Times New Roman" w:eastAsia="Times New Roman" w:hAnsi="Times New Roman" w:cs="Times New Roman"/>
          <w:b/>
          <w:smallCaps/>
          <w:sz w:val="24"/>
          <w:szCs w:val="24"/>
        </w:rPr>
        <w:t xml:space="preserve">1 </w:t>
      </w:r>
      <w:r w:rsidRPr="0088141F">
        <w:rPr>
          <w:rFonts w:ascii="Times New Roman" w:eastAsia="Times New Roman" w:hAnsi="Times New Roman" w:cs="Times New Roman"/>
          <w:b/>
          <w:sz w:val="24"/>
          <w:szCs w:val="24"/>
        </w:rPr>
        <w:t>Introdução</w:t>
      </w:r>
    </w:p>
    <w:p w14:paraId="4E1DFDD1" w14:textId="77777777" w:rsidR="00667BE9" w:rsidRPr="0088141F" w:rsidRDefault="00667BE9" w:rsidP="001F7CF4">
      <w:pPr>
        <w:spacing w:after="0" w:line="240" w:lineRule="auto"/>
        <w:jc w:val="both"/>
        <w:rPr>
          <w:rFonts w:ascii="Times New Roman" w:eastAsia="Times New Roman" w:hAnsi="Times New Roman" w:cs="Times New Roman"/>
          <w:b/>
          <w:i/>
          <w:sz w:val="24"/>
          <w:szCs w:val="24"/>
        </w:rPr>
      </w:pPr>
    </w:p>
    <w:p w14:paraId="6F9F15E3" w14:textId="77777777" w:rsidR="00081761" w:rsidRPr="0088141F" w:rsidRDefault="00081761" w:rsidP="001F7CF4">
      <w:pPr>
        <w:tabs>
          <w:tab w:val="num" w:pos="720"/>
        </w:tabs>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 xml:space="preserve">O estado de Mato Grosso, tem seu processo de ocupação datado no período colonial, na fase do capitalismo mercantil quando se impôs o latifúndio como forma de acumulação do capital e a pecuária, como atividade econômica principal, mantendo-se assim por quase três séculos. </w:t>
      </w:r>
      <w:r w:rsidR="00C35AAB" w:rsidRPr="0088141F">
        <w:rPr>
          <w:rFonts w:ascii="Times New Roman" w:hAnsi="Times New Roman" w:cs="Times New Roman"/>
          <w:sz w:val="24"/>
          <w:szCs w:val="24"/>
        </w:rPr>
        <w:t>A partir da década de 1960, a</w:t>
      </w:r>
      <w:r w:rsidRPr="0088141F">
        <w:rPr>
          <w:rFonts w:ascii="Times New Roman" w:hAnsi="Times New Roman" w:cs="Times New Roman"/>
          <w:sz w:val="24"/>
          <w:szCs w:val="24"/>
        </w:rPr>
        <w:t>s transformações produtivas, conduzidas pela ação do estado, coloc</w:t>
      </w:r>
      <w:r w:rsidR="00C35AAB" w:rsidRPr="0088141F">
        <w:rPr>
          <w:rFonts w:ascii="Times New Roman" w:hAnsi="Times New Roman" w:cs="Times New Roman"/>
          <w:sz w:val="24"/>
          <w:szCs w:val="24"/>
        </w:rPr>
        <w:t>aram</w:t>
      </w:r>
      <w:r w:rsidRPr="0088141F">
        <w:rPr>
          <w:rFonts w:ascii="Times New Roman" w:hAnsi="Times New Roman" w:cs="Times New Roman"/>
          <w:sz w:val="24"/>
          <w:szCs w:val="24"/>
        </w:rPr>
        <w:t xml:space="preserve"> o crescimento da economia estadual em novos patamares</w:t>
      </w:r>
      <w:r w:rsidR="00C35AAB" w:rsidRPr="0088141F">
        <w:rPr>
          <w:rFonts w:ascii="Times New Roman" w:hAnsi="Times New Roman" w:cs="Times New Roman"/>
          <w:sz w:val="24"/>
          <w:szCs w:val="24"/>
        </w:rPr>
        <w:t>. Todavia</w:t>
      </w:r>
      <w:r w:rsidRPr="0088141F">
        <w:rPr>
          <w:rFonts w:ascii="Times New Roman" w:hAnsi="Times New Roman" w:cs="Times New Roman"/>
          <w:sz w:val="24"/>
          <w:szCs w:val="24"/>
        </w:rPr>
        <w:t>, promovida</w:t>
      </w:r>
      <w:r w:rsidR="00C35AAB" w:rsidRPr="0088141F">
        <w:rPr>
          <w:rFonts w:ascii="Times New Roman" w:hAnsi="Times New Roman" w:cs="Times New Roman"/>
          <w:sz w:val="24"/>
          <w:szCs w:val="24"/>
        </w:rPr>
        <w:t>s</w:t>
      </w:r>
      <w:r w:rsidRPr="0088141F">
        <w:rPr>
          <w:rFonts w:ascii="Times New Roman" w:hAnsi="Times New Roman" w:cs="Times New Roman"/>
          <w:sz w:val="24"/>
          <w:szCs w:val="24"/>
        </w:rPr>
        <w:t xml:space="preserve"> </w:t>
      </w:r>
      <w:r w:rsidR="00C35AAB" w:rsidRPr="0088141F">
        <w:rPr>
          <w:rFonts w:ascii="Times New Roman" w:hAnsi="Times New Roman" w:cs="Times New Roman"/>
          <w:sz w:val="24"/>
          <w:szCs w:val="24"/>
        </w:rPr>
        <w:t>em meio</w:t>
      </w:r>
      <w:r w:rsidRPr="0088141F">
        <w:rPr>
          <w:rFonts w:ascii="Times New Roman" w:hAnsi="Times New Roman" w:cs="Times New Roman"/>
          <w:sz w:val="24"/>
          <w:szCs w:val="24"/>
        </w:rPr>
        <w:t xml:space="preserve"> paradigma da modernização conservadora, logr</w:t>
      </w:r>
      <w:r w:rsidR="00C35AAB" w:rsidRPr="0088141F">
        <w:rPr>
          <w:rFonts w:ascii="Times New Roman" w:hAnsi="Times New Roman" w:cs="Times New Roman"/>
          <w:sz w:val="24"/>
          <w:szCs w:val="24"/>
        </w:rPr>
        <w:t>aram</w:t>
      </w:r>
      <w:r w:rsidRPr="0088141F">
        <w:rPr>
          <w:rFonts w:ascii="Times New Roman" w:hAnsi="Times New Roman" w:cs="Times New Roman"/>
          <w:sz w:val="24"/>
          <w:szCs w:val="24"/>
        </w:rPr>
        <w:t xml:space="preserve"> expandir a produção</w:t>
      </w:r>
      <w:r w:rsidR="00C35AAB" w:rsidRPr="0088141F">
        <w:rPr>
          <w:rFonts w:ascii="Times New Roman" w:hAnsi="Times New Roman" w:cs="Times New Roman"/>
          <w:sz w:val="24"/>
          <w:szCs w:val="24"/>
        </w:rPr>
        <w:t xml:space="preserve"> </w:t>
      </w:r>
      <w:r w:rsidRPr="0088141F">
        <w:rPr>
          <w:rFonts w:ascii="Times New Roman" w:hAnsi="Times New Roman" w:cs="Times New Roman"/>
          <w:sz w:val="24"/>
          <w:szCs w:val="24"/>
        </w:rPr>
        <w:t xml:space="preserve">sem alterar </w:t>
      </w:r>
      <w:r w:rsidR="00C35AAB" w:rsidRPr="0088141F">
        <w:rPr>
          <w:rFonts w:ascii="Times New Roman" w:hAnsi="Times New Roman" w:cs="Times New Roman"/>
          <w:sz w:val="24"/>
          <w:szCs w:val="24"/>
        </w:rPr>
        <w:t>significativamente a estrutura pretérita</w:t>
      </w:r>
      <w:r w:rsidRPr="0088141F">
        <w:rPr>
          <w:rFonts w:ascii="Times New Roman" w:hAnsi="Times New Roman" w:cs="Times New Roman"/>
          <w:sz w:val="24"/>
          <w:szCs w:val="24"/>
        </w:rPr>
        <w:t>.</w:t>
      </w:r>
    </w:p>
    <w:p w14:paraId="451792EF" w14:textId="77777777" w:rsidR="00C35AAB" w:rsidRPr="0088141F" w:rsidRDefault="00C35AAB" w:rsidP="001F7CF4">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Desta forma, o estado de Mato Grosso experimentou, a partir de 2003, um crescimento significativo que foi possível pelo aproveitamento que combinou uma base produtora, anteriormente construída, com o advento, no período atual, de fatores que tornaram muito favoráveis, nos mercados externos, os componentes (preços e quantidades) das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agrícolas, extremamente adequadas àquela base. </w:t>
      </w:r>
    </w:p>
    <w:p w14:paraId="346CC333" w14:textId="3365531E" w:rsidR="008B1709" w:rsidRPr="0088141F" w:rsidRDefault="00566C14" w:rsidP="001F7CF4">
      <w:pPr>
        <w:widowControl w:val="0"/>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No período recente, o avanço do agronegócio</w:t>
      </w:r>
      <w:r w:rsidR="00701FFE" w:rsidRPr="0088141F">
        <w:rPr>
          <w:rFonts w:ascii="Times New Roman" w:hAnsi="Times New Roman" w:cs="Times New Roman"/>
          <w:sz w:val="24"/>
          <w:szCs w:val="24"/>
        </w:rPr>
        <w:t xml:space="preserve">, </w:t>
      </w:r>
      <w:r w:rsidR="00BA640B" w:rsidRPr="0088141F">
        <w:rPr>
          <w:rFonts w:ascii="Times New Roman" w:hAnsi="Times New Roman" w:cs="Times New Roman"/>
          <w:sz w:val="24"/>
          <w:szCs w:val="24"/>
        </w:rPr>
        <w:t>como</w:t>
      </w:r>
      <w:r w:rsidR="00701FFE" w:rsidRPr="0088141F">
        <w:rPr>
          <w:rFonts w:ascii="Times New Roman" w:hAnsi="Times New Roman" w:cs="Times New Roman"/>
          <w:sz w:val="24"/>
          <w:szCs w:val="24"/>
        </w:rPr>
        <w:t xml:space="preserve"> agregador de atividades relacionadas à produção agrícola, promoveu a maior integração rural-urbano, sob o comando de setor industrial que vem impondo a ampliação de investimentos de capital e tecnologia, na perspectiva de elevar seus índices de produtividade e aumentar a competitividade do setor agropecuário.</w:t>
      </w:r>
      <w:r w:rsidR="008B1709" w:rsidRPr="0088141F">
        <w:rPr>
          <w:rFonts w:ascii="Times New Roman" w:hAnsi="Times New Roman" w:cs="Times New Roman"/>
          <w:sz w:val="24"/>
          <w:szCs w:val="24"/>
        </w:rPr>
        <w:t xml:space="preserve"> </w:t>
      </w:r>
      <w:r w:rsidR="00701FFE" w:rsidRPr="0088141F">
        <w:rPr>
          <w:rFonts w:ascii="Times New Roman" w:hAnsi="Times New Roman" w:cs="Times New Roman"/>
          <w:sz w:val="24"/>
          <w:szCs w:val="24"/>
        </w:rPr>
        <w:t xml:space="preserve">Todavia, tais mudanças têm repercutido sobre o espaço rural, com </w:t>
      </w:r>
      <w:r w:rsidR="002B453E">
        <w:rPr>
          <w:rFonts w:ascii="Times New Roman" w:hAnsi="Times New Roman" w:cs="Times New Roman"/>
          <w:sz w:val="24"/>
          <w:szCs w:val="24"/>
        </w:rPr>
        <w:t>efeitos</w:t>
      </w:r>
      <w:r w:rsidR="00701FFE" w:rsidRPr="0088141F">
        <w:rPr>
          <w:rFonts w:ascii="Times New Roman" w:hAnsi="Times New Roman" w:cs="Times New Roman"/>
          <w:sz w:val="24"/>
          <w:szCs w:val="24"/>
        </w:rPr>
        <w:t xml:space="preserve"> sobre o uso da terra e o meio ambiente. </w:t>
      </w:r>
      <w:r w:rsidR="008B1709" w:rsidRPr="0088141F">
        <w:rPr>
          <w:rFonts w:ascii="Times New Roman" w:hAnsi="Times New Roman" w:cs="Times New Roman"/>
          <w:sz w:val="24"/>
          <w:szCs w:val="24"/>
        </w:rPr>
        <w:t>Tais impactos refletem, sobretudo, a necessidade constante de incorporação de novas áreas e o uso de agrotóxicos nocivos ao meio ambiente e à saúde humana.</w:t>
      </w:r>
    </w:p>
    <w:p w14:paraId="4B895657" w14:textId="33433051" w:rsidR="00701FFE" w:rsidRPr="0088141F" w:rsidRDefault="00EA51AD" w:rsidP="001F7CF4">
      <w:pPr>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Assim, o</w:t>
      </w:r>
      <w:r w:rsidR="00701FFE" w:rsidRPr="0088141F">
        <w:rPr>
          <w:rFonts w:ascii="Times New Roman" w:hAnsi="Times New Roman" w:cs="Times New Roman"/>
          <w:sz w:val="24"/>
          <w:szCs w:val="24"/>
        </w:rPr>
        <w:t xml:space="preserve"> presente artigo tem como objetivo discutir aspecto</w:t>
      </w:r>
      <w:r w:rsidR="00682DE7">
        <w:rPr>
          <w:rFonts w:ascii="Times New Roman" w:hAnsi="Times New Roman" w:cs="Times New Roman"/>
          <w:sz w:val="24"/>
          <w:szCs w:val="24"/>
        </w:rPr>
        <w:t>s</w:t>
      </w:r>
      <w:r w:rsidR="00701FFE" w:rsidRPr="0088141F">
        <w:rPr>
          <w:rFonts w:ascii="Times New Roman" w:hAnsi="Times New Roman" w:cs="Times New Roman"/>
          <w:sz w:val="24"/>
          <w:szCs w:val="24"/>
        </w:rPr>
        <w:t xml:space="preserve"> da expansão produtiva agropecuária no Estado de Mato Grosso e seus impactos fundiários e ambientais. Utiliza-se como fundamento analítico o método histórico-estrutural, através de variáveis consideradas </w:t>
      </w:r>
      <w:r w:rsidR="00701FFE" w:rsidRPr="0088141F">
        <w:rPr>
          <w:rFonts w:ascii="Times New Roman" w:hAnsi="Times New Roman" w:cs="Times New Roman"/>
          <w:sz w:val="24"/>
          <w:szCs w:val="24"/>
        </w:rPr>
        <w:lastRenderedPageBreak/>
        <w:t>determinantes da produção, desde o início dos anos 2000. Em especial, destacam-se as modificações do setor agropecuário a partir dos dados censitários de 2006 e 2017.</w:t>
      </w:r>
    </w:p>
    <w:p w14:paraId="6EC22723" w14:textId="77E460C7" w:rsidR="00701FFE" w:rsidRPr="0088141F" w:rsidRDefault="00701FFE" w:rsidP="001F7CF4">
      <w:pPr>
        <w:widowControl w:val="0"/>
        <w:tabs>
          <w:tab w:val="left" w:pos="3165"/>
        </w:tabs>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Nesse sentido, além da presente introdução, o trabalho conta com mais </w:t>
      </w:r>
      <w:r w:rsidR="00454BAE">
        <w:rPr>
          <w:rFonts w:ascii="Times New Roman" w:hAnsi="Times New Roman" w:cs="Times New Roman"/>
          <w:sz w:val="24"/>
          <w:szCs w:val="24"/>
        </w:rPr>
        <w:t>três</w:t>
      </w:r>
      <w:r w:rsidR="001F7CF4" w:rsidRPr="0088141F">
        <w:rPr>
          <w:rFonts w:ascii="Times New Roman" w:hAnsi="Times New Roman" w:cs="Times New Roman"/>
          <w:sz w:val="24"/>
          <w:szCs w:val="24"/>
        </w:rPr>
        <w:t xml:space="preserve"> </w:t>
      </w:r>
      <w:r w:rsidRPr="0088141F">
        <w:rPr>
          <w:rFonts w:ascii="Times New Roman" w:hAnsi="Times New Roman" w:cs="Times New Roman"/>
          <w:sz w:val="24"/>
          <w:szCs w:val="24"/>
        </w:rPr>
        <w:t xml:space="preserve">seções, sendo que na de número dois </w:t>
      </w:r>
      <w:r w:rsidR="008B1709" w:rsidRPr="0088141F">
        <w:rPr>
          <w:rFonts w:ascii="Times New Roman" w:hAnsi="Times New Roman" w:cs="Times New Roman"/>
          <w:sz w:val="24"/>
          <w:szCs w:val="24"/>
        </w:rPr>
        <w:t xml:space="preserve">serão </w:t>
      </w:r>
      <w:r w:rsidRPr="0088141F">
        <w:rPr>
          <w:rFonts w:ascii="Times New Roman" w:hAnsi="Times New Roman" w:cs="Times New Roman"/>
          <w:sz w:val="24"/>
          <w:szCs w:val="24"/>
        </w:rPr>
        <w:t>apresentado</w:t>
      </w:r>
      <w:r w:rsidR="008B1709" w:rsidRPr="0088141F">
        <w:rPr>
          <w:rFonts w:ascii="Times New Roman" w:hAnsi="Times New Roman" w:cs="Times New Roman"/>
          <w:sz w:val="24"/>
          <w:szCs w:val="24"/>
        </w:rPr>
        <w:t>s,</w:t>
      </w:r>
      <w:r w:rsidR="001F7CF4" w:rsidRPr="0088141F">
        <w:rPr>
          <w:rFonts w:ascii="Times New Roman" w:hAnsi="Times New Roman" w:cs="Times New Roman"/>
          <w:sz w:val="24"/>
          <w:szCs w:val="24"/>
        </w:rPr>
        <w:t xml:space="preserve"> brevemente</w:t>
      </w:r>
      <w:r w:rsidR="008B1709" w:rsidRPr="0088141F">
        <w:rPr>
          <w:rFonts w:ascii="Times New Roman" w:hAnsi="Times New Roman" w:cs="Times New Roman"/>
          <w:sz w:val="24"/>
          <w:szCs w:val="24"/>
        </w:rPr>
        <w:t>,</w:t>
      </w:r>
      <w:r w:rsidR="001F7CF4" w:rsidRPr="0088141F">
        <w:rPr>
          <w:rFonts w:ascii="Times New Roman" w:hAnsi="Times New Roman" w:cs="Times New Roman"/>
          <w:sz w:val="24"/>
          <w:szCs w:val="24"/>
        </w:rPr>
        <w:t xml:space="preserve"> aspectos da modernização da produção agrícola brasileira com ênfase no papel do agronegócio na atual fase de desenvolvimento econômico. </w:t>
      </w:r>
      <w:r w:rsidR="00411F35">
        <w:rPr>
          <w:rFonts w:ascii="Times New Roman" w:hAnsi="Times New Roman" w:cs="Times New Roman"/>
          <w:sz w:val="24"/>
          <w:szCs w:val="24"/>
        </w:rPr>
        <w:t>Já a</w:t>
      </w:r>
      <w:r w:rsidR="008B1709" w:rsidRPr="0088141F">
        <w:rPr>
          <w:rFonts w:ascii="Times New Roman" w:hAnsi="Times New Roman" w:cs="Times New Roman"/>
          <w:sz w:val="24"/>
          <w:szCs w:val="24"/>
        </w:rPr>
        <w:t xml:space="preserve"> </w:t>
      </w:r>
      <w:r w:rsidRPr="0088141F">
        <w:rPr>
          <w:rFonts w:ascii="Times New Roman" w:hAnsi="Times New Roman" w:cs="Times New Roman"/>
          <w:sz w:val="24"/>
          <w:szCs w:val="24"/>
        </w:rPr>
        <w:t>terceira seção</w:t>
      </w:r>
      <w:r w:rsidR="00072104">
        <w:rPr>
          <w:rFonts w:ascii="Times New Roman" w:hAnsi="Times New Roman" w:cs="Times New Roman"/>
          <w:sz w:val="24"/>
          <w:szCs w:val="24"/>
        </w:rPr>
        <w:t xml:space="preserve"> </w:t>
      </w:r>
      <w:r w:rsidR="00F15983">
        <w:rPr>
          <w:rFonts w:ascii="Times New Roman" w:hAnsi="Times New Roman" w:cs="Times New Roman"/>
          <w:sz w:val="24"/>
          <w:szCs w:val="24"/>
        </w:rPr>
        <w:t xml:space="preserve">está </w:t>
      </w:r>
      <w:r w:rsidR="001F7CF4" w:rsidRPr="0088141F">
        <w:rPr>
          <w:rFonts w:ascii="Times New Roman" w:hAnsi="Times New Roman" w:cs="Times New Roman"/>
          <w:sz w:val="24"/>
          <w:szCs w:val="24"/>
        </w:rPr>
        <w:t>dividida em dois tópicos</w:t>
      </w:r>
      <w:r w:rsidR="00454BAE">
        <w:rPr>
          <w:rFonts w:ascii="Times New Roman" w:hAnsi="Times New Roman" w:cs="Times New Roman"/>
          <w:sz w:val="24"/>
          <w:szCs w:val="24"/>
        </w:rPr>
        <w:t>,</w:t>
      </w:r>
      <w:r w:rsidR="001F7CF4" w:rsidRPr="0088141F">
        <w:rPr>
          <w:rFonts w:ascii="Times New Roman" w:hAnsi="Times New Roman" w:cs="Times New Roman"/>
          <w:sz w:val="24"/>
          <w:szCs w:val="24"/>
        </w:rPr>
        <w:t xml:space="preserve"> sendo (i) para destacar as mudanças na estrutura fundiária estadual, acompanhada do contraponto em relação a situação do país e (</w:t>
      </w:r>
      <w:proofErr w:type="spellStart"/>
      <w:r w:rsidR="001F7CF4" w:rsidRPr="0088141F">
        <w:rPr>
          <w:rFonts w:ascii="Times New Roman" w:hAnsi="Times New Roman" w:cs="Times New Roman"/>
          <w:sz w:val="24"/>
          <w:szCs w:val="24"/>
        </w:rPr>
        <w:t>ii</w:t>
      </w:r>
      <w:proofErr w:type="spellEnd"/>
      <w:r w:rsidR="001F7CF4" w:rsidRPr="0088141F">
        <w:rPr>
          <w:rFonts w:ascii="Times New Roman" w:hAnsi="Times New Roman" w:cs="Times New Roman"/>
          <w:sz w:val="24"/>
          <w:szCs w:val="24"/>
        </w:rPr>
        <w:t>) para destacar características da tecnificação agropecuária com seus reflexos sobre a produção e o meio ambiente. Por fim, n</w:t>
      </w:r>
      <w:r w:rsidRPr="0088141F">
        <w:rPr>
          <w:rFonts w:ascii="Times New Roman" w:hAnsi="Times New Roman" w:cs="Times New Roman"/>
          <w:sz w:val="24"/>
          <w:szCs w:val="24"/>
        </w:rPr>
        <w:t>a qu</w:t>
      </w:r>
      <w:r w:rsidR="003D2383">
        <w:rPr>
          <w:rFonts w:ascii="Times New Roman" w:hAnsi="Times New Roman" w:cs="Times New Roman"/>
          <w:sz w:val="24"/>
          <w:szCs w:val="24"/>
        </w:rPr>
        <w:t>arta</w:t>
      </w:r>
      <w:r w:rsidRPr="0088141F">
        <w:rPr>
          <w:rFonts w:ascii="Times New Roman" w:hAnsi="Times New Roman" w:cs="Times New Roman"/>
          <w:sz w:val="24"/>
          <w:szCs w:val="24"/>
        </w:rPr>
        <w:t xml:space="preserve"> seção serão expostas a</w:t>
      </w:r>
      <w:r w:rsidR="001F7CF4" w:rsidRPr="0088141F">
        <w:rPr>
          <w:rFonts w:ascii="Times New Roman" w:hAnsi="Times New Roman" w:cs="Times New Roman"/>
          <w:sz w:val="24"/>
          <w:szCs w:val="24"/>
        </w:rPr>
        <w:t xml:space="preserve">lgumas </w:t>
      </w:r>
      <w:r w:rsidRPr="0088141F">
        <w:rPr>
          <w:rFonts w:ascii="Times New Roman" w:hAnsi="Times New Roman" w:cs="Times New Roman"/>
          <w:sz w:val="24"/>
          <w:szCs w:val="24"/>
        </w:rPr>
        <w:t xml:space="preserve">considerações finais </w:t>
      </w:r>
      <w:r w:rsidR="001F7CF4" w:rsidRPr="0088141F">
        <w:rPr>
          <w:rFonts w:ascii="Times New Roman" w:hAnsi="Times New Roman" w:cs="Times New Roman"/>
          <w:sz w:val="24"/>
          <w:szCs w:val="24"/>
        </w:rPr>
        <w:t>sobre o tema e sua relação com o desenvolvimento econômico</w:t>
      </w:r>
      <w:r w:rsidRPr="0088141F">
        <w:rPr>
          <w:rFonts w:ascii="Times New Roman" w:hAnsi="Times New Roman" w:cs="Times New Roman"/>
          <w:sz w:val="24"/>
          <w:szCs w:val="24"/>
        </w:rPr>
        <w:t>.</w:t>
      </w:r>
    </w:p>
    <w:p w14:paraId="29645A42" w14:textId="77777777" w:rsidR="00474514" w:rsidRPr="0088141F" w:rsidRDefault="00474514" w:rsidP="001F7CF4">
      <w:pPr>
        <w:tabs>
          <w:tab w:val="left" w:pos="1245"/>
        </w:tabs>
        <w:spacing w:after="0" w:line="240" w:lineRule="auto"/>
        <w:rPr>
          <w:rFonts w:ascii="Times New Roman" w:eastAsia="Times New Roman" w:hAnsi="Times New Roman" w:cs="Times New Roman"/>
          <w:sz w:val="24"/>
          <w:szCs w:val="24"/>
        </w:rPr>
      </w:pPr>
    </w:p>
    <w:p w14:paraId="09E7693A" w14:textId="602FB53C" w:rsidR="00943AF3" w:rsidRPr="0088141F" w:rsidRDefault="001F7CF4" w:rsidP="0067789F">
      <w:pPr>
        <w:pStyle w:val="Ttulo2"/>
        <w:spacing w:before="0" w:after="0" w:line="240" w:lineRule="auto"/>
        <w:jc w:val="both"/>
        <w:rPr>
          <w:rFonts w:ascii="Times New Roman" w:hAnsi="Times New Roman" w:cs="Times New Roman"/>
          <w:sz w:val="24"/>
          <w:szCs w:val="24"/>
        </w:rPr>
      </w:pPr>
      <w:bookmarkStart w:id="1" w:name="_Toc501529174"/>
      <w:bookmarkStart w:id="2" w:name="_Toc511560654"/>
      <w:bookmarkStart w:id="3" w:name="_Toc535092732"/>
      <w:bookmarkStart w:id="4" w:name="_Toc2204687"/>
      <w:bookmarkStart w:id="5" w:name="_Toc2204703"/>
      <w:r w:rsidRPr="0088141F">
        <w:rPr>
          <w:rFonts w:ascii="Times New Roman" w:hAnsi="Times New Roman" w:cs="Times New Roman"/>
          <w:sz w:val="24"/>
          <w:szCs w:val="24"/>
        </w:rPr>
        <w:t>2</w:t>
      </w:r>
      <w:r w:rsidR="0006092F" w:rsidRPr="0088141F">
        <w:rPr>
          <w:rFonts w:ascii="Times New Roman" w:hAnsi="Times New Roman" w:cs="Times New Roman"/>
          <w:sz w:val="24"/>
          <w:szCs w:val="24"/>
        </w:rPr>
        <w:t xml:space="preserve"> </w:t>
      </w:r>
      <w:bookmarkEnd w:id="1"/>
      <w:bookmarkEnd w:id="2"/>
      <w:r w:rsidRPr="0088141F">
        <w:rPr>
          <w:rFonts w:ascii="Times New Roman" w:hAnsi="Times New Roman" w:cs="Times New Roman"/>
          <w:sz w:val="24"/>
          <w:szCs w:val="24"/>
        </w:rPr>
        <w:t xml:space="preserve">Breves </w:t>
      </w:r>
      <w:bookmarkEnd w:id="3"/>
      <w:bookmarkEnd w:id="4"/>
      <w:r w:rsidR="00B22804" w:rsidRPr="0088141F">
        <w:rPr>
          <w:rFonts w:ascii="Times New Roman" w:hAnsi="Times New Roman" w:cs="Times New Roman"/>
          <w:sz w:val="24"/>
          <w:szCs w:val="24"/>
        </w:rPr>
        <w:t xml:space="preserve">Considerações sobre o </w:t>
      </w:r>
      <w:r w:rsidR="0006092F" w:rsidRPr="0088141F">
        <w:rPr>
          <w:rFonts w:ascii="Times New Roman" w:hAnsi="Times New Roman" w:cs="Times New Roman"/>
          <w:sz w:val="24"/>
          <w:szCs w:val="24"/>
        </w:rPr>
        <w:t>Agronegócio</w:t>
      </w:r>
      <w:r w:rsidR="00B22804" w:rsidRPr="0088141F">
        <w:rPr>
          <w:rFonts w:ascii="Times New Roman" w:hAnsi="Times New Roman" w:cs="Times New Roman"/>
          <w:sz w:val="24"/>
          <w:szCs w:val="24"/>
        </w:rPr>
        <w:t xml:space="preserve"> no Brasil</w:t>
      </w:r>
    </w:p>
    <w:p w14:paraId="0DBC81FB" w14:textId="77777777" w:rsidR="00943AF3" w:rsidRPr="0088141F" w:rsidRDefault="00943AF3" w:rsidP="0067789F">
      <w:pPr>
        <w:spacing w:after="0" w:line="240" w:lineRule="auto"/>
        <w:rPr>
          <w:rFonts w:ascii="Times New Roman" w:eastAsia="Times New Roman" w:hAnsi="Times New Roman" w:cs="Times New Roman"/>
          <w:sz w:val="24"/>
          <w:szCs w:val="24"/>
        </w:rPr>
      </w:pPr>
    </w:p>
    <w:p w14:paraId="13D33E99" w14:textId="085DE0F1" w:rsidR="00943AF3" w:rsidRPr="0088141F" w:rsidRDefault="00437F8A" w:rsidP="0067789F">
      <w:pPr>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A agricultura brasileira passou por mudanças importantes na sua forma de produzir a partir do final da década de 1960, com o aprofundamento da integração</w:t>
      </w:r>
      <w:r w:rsidR="00366ED7" w:rsidRPr="0088141F">
        <w:rPr>
          <w:rFonts w:ascii="Times New Roman" w:hAnsi="Times New Roman" w:cs="Times New Roman"/>
          <w:sz w:val="24"/>
          <w:szCs w:val="24"/>
        </w:rPr>
        <w:t xml:space="preserve"> socioeconômica e </w:t>
      </w:r>
      <w:r w:rsidRPr="0088141F">
        <w:rPr>
          <w:rFonts w:ascii="Times New Roman" w:hAnsi="Times New Roman" w:cs="Times New Roman"/>
          <w:sz w:val="24"/>
          <w:szCs w:val="24"/>
        </w:rPr>
        <w:t>produtiva sob o comando d</w:t>
      </w:r>
      <w:r w:rsidR="00366ED7" w:rsidRPr="0088141F">
        <w:rPr>
          <w:rFonts w:ascii="Times New Roman" w:hAnsi="Times New Roman" w:cs="Times New Roman"/>
          <w:sz w:val="24"/>
          <w:szCs w:val="24"/>
        </w:rPr>
        <w:t>os setores urbano-industriais, através</w:t>
      </w:r>
      <w:r w:rsidRPr="0088141F">
        <w:rPr>
          <w:rFonts w:ascii="Times New Roman" w:hAnsi="Times New Roman" w:cs="Times New Roman"/>
          <w:sz w:val="24"/>
          <w:szCs w:val="24"/>
        </w:rPr>
        <w:t xml:space="preserve"> agroindústria </w:t>
      </w:r>
      <w:r w:rsidR="00366ED7" w:rsidRPr="0088141F">
        <w:rPr>
          <w:rFonts w:ascii="Times New Roman" w:hAnsi="Times New Roman" w:cs="Times New Roman"/>
          <w:sz w:val="24"/>
          <w:szCs w:val="24"/>
        </w:rPr>
        <w:t>(</w:t>
      </w:r>
      <w:r w:rsidRPr="0088141F">
        <w:rPr>
          <w:rFonts w:ascii="Times New Roman" w:hAnsi="Times New Roman" w:cs="Times New Roman"/>
          <w:sz w:val="24"/>
          <w:szCs w:val="24"/>
        </w:rPr>
        <w:t>fornecedora</w:t>
      </w:r>
      <w:r w:rsidR="00366ED7" w:rsidRPr="0088141F">
        <w:rPr>
          <w:rFonts w:ascii="Times New Roman" w:hAnsi="Times New Roman" w:cs="Times New Roman"/>
          <w:sz w:val="24"/>
          <w:szCs w:val="24"/>
        </w:rPr>
        <w:t xml:space="preserve"> de insumos e compradora de matéria-prima) e do setor externo. O movimento conhecido como “</w:t>
      </w:r>
      <w:r w:rsidR="00943AF3" w:rsidRPr="0088141F">
        <w:rPr>
          <w:rFonts w:ascii="Times New Roman" w:hAnsi="Times New Roman" w:cs="Times New Roman"/>
          <w:sz w:val="24"/>
          <w:szCs w:val="24"/>
        </w:rPr>
        <w:t>modernização conservadora</w:t>
      </w:r>
      <w:r w:rsidR="00366ED7" w:rsidRPr="0088141F">
        <w:rPr>
          <w:rFonts w:ascii="Times New Roman" w:hAnsi="Times New Roman" w:cs="Times New Roman"/>
          <w:sz w:val="24"/>
          <w:szCs w:val="24"/>
        </w:rPr>
        <w:t>”</w:t>
      </w:r>
      <w:r w:rsidR="00943AF3" w:rsidRPr="0088141F">
        <w:rPr>
          <w:rFonts w:ascii="Times New Roman" w:hAnsi="Times New Roman" w:cs="Times New Roman"/>
          <w:sz w:val="24"/>
          <w:szCs w:val="24"/>
        </w:rPr>
        <w:t xml:space="preserve"> decorreu do movimento nacional e internacional de capitais, com a proeminência do setor industrial comandado pela grande empresa transnacional</w:t>
      </w:r>
      <w:r w:rsidR="00F63E68">
        <w:rPr>
          <w:rFonts w:ascii="Times New Roman" w:hAnsi="Times New Roman" w:cs="Times New Roman"/>
          <w:sz w:val="24"/>
          <w:szCs w:val="24"/>
        </w:rPr>
        <w:t xml:space="preserve">, </w:t>
      </w:r>
      <w:r w:rsidR="001E743F">
        <w:rPr>
          <w:rFonts w:ascii="Times New Roman" w:hAnsi="Times New Roman" w:cs="Times New Roman"/>
          <w:sz w:val="24"/>
          <w:szCs w:val="24"/>
        </w:rPr>
        <w:t>sem modificar, contudo, a estrutura fund</w:t>
      </w:r>
      <w:r w:rsidR="00F65CB3">
        <w:rPr>
          <w:rFonts w:ascii="Times New Roman" w:hAnsi="Times New Roman" w:cs="Times New Roman"/>
          <w:sz w:val="24"/>
          <w:szCs w:val="24"/>
        </w:rPr>
        <w:t>i</w:t>
      </w:r>
      <w:r w:rsidR="001E743F">
        <w:rPr>
          <w:rFonts w:ascii="Times New Roman" w:hAnsi="Times New Roman" w:cs="Times New Roman"/>
          <w:sz w:val="24"/>
          <w:szCs w:val="24"/>
        </w:rPr>
        <w:t>ária</w:t>
      </w:r>
      <w:r w:rsidR="00943AF3" w:rsidRPr="0088141F">
        <w:rPr>
          <w:rFonts w:ascii="Times New Roman" w:hAnsi="Times New Roman" w:cs="Times New Roman"/>
          <w:sz w:val="24"/>
          <w:szCs w:val="24"/>
        </w:rPr>
        <w:t xml:space="preserve">. Esta contribuiu para acelerar a </w:t>
      </w:r>
      <w:r w:rsidR="00E9381C">
        <w:rPr>
          <w:rFonts w:ascii="Times New Roman" w:hAnsi="Times New Roman" w:cs="Times New Roman"/>
          <w:sz w:val="24"/>
          <w:szCs w:val="24"/>
        </w:rPr>
        <w:t>uso de tec</w:t>
      </w:r>
      <w:r w:rsidR="00C8108C">
        <w:rPr>
          <w:rFonts w:ascii="Times New Roman" w:hAnsi="Times New Roman" w:cs="Times New Roman"/>
          <w:sz w:val="24"/>
          <w:szCs w:val="24"/>
        </w:rPr>
        <w:t>nologias</w:t>
      </w:r>
      <w:r w:rsidR="00943AF3" w:rsidRPr="0088141F">
        <w:rPr>
          <w:rFonts w:ascii="Times New Roman" w:hAnsi="Times New Roman" w:cs="Times New Roman"/>
          <w:sz w:val="24"/>
          <w:szCs w:val="24"/>
        </w:rPr>
        <w:t xml:space="preserve"> e aument</w:t>
      </w:r>
      <w:r w:rsidR="00C8108C">
        <w:rPr>
          <w:rFonts w:ascii="Times New Roman" w:hAnsi="Times New Roman" w:cs="Times New Roman"/>
          <w:sz w:val="24"/>
          <w:szCs w:val="24"/>
        </w:rPr>
        <w:t>ar</w:t>
      </w:r>
      <w:r w:rsidR="00943AF3" w:rsidRPr="0088141F">
        <w:rPr>
          <w:rFonts w:ascii="Times New Roman" w:hAnsi="Times New Roman" w:cs="Times New Roman"/>
          <w:sz w:val="24"/>
          <w:szCs w:val="24"/>
        </w:rPr>
        <w:t xml:space="preserve"> a produtividade agrícola</w:t>
      </w:r>
      <w:r w:rsidR="00943AF3" w:rsidRPr="0088141F">
        <w:rPr>
          <w:rFonts w:ascii="Times New Roman" w:hAnsi="Times New Roman" w:cs="Times New Roman"/>
          <w:sz w:val="24"/>
          <w:szCs w:val="24"/>
          <w:vertAlign w:val="superscript"/>
        </w:rPr>
        <w:footnoteReference w:id="2"/>
      </w:r>
      <w:r w:rsidR="00943AF3" w:rsidRPr="0088141F">
        <w:rPr>
          <w:rFonts w:ascii="Times New Roman" w:hAnsi="Times New Roman" w:cs="Times New Roman"/>
          <w:sz w:val="24"/>
          <w:szCs w:val="24"/>
        </w:rPr>
        <w:t xml:space="preserve"> com base na utilização de máquinas e equipamentos e de insumos (químicos e biológicos), influenciando o processamento da matéria-prima e a comercialização do </w:t>
      </w:r>
      <w:proofErr w:type="gramStart"/>
      <w:r w:rsidR="00943AF3" w:rsidRPr="0088141F">
        <w:rPr>
          <w:rFonts w:ascii="Times New Roman" w:hAnsi="Times New Roman" w:cs="Times New Roman"/>
          <w:sz w:val="24"/>
          <w:szCs w:val="24"/>
        </w:rPr>
        <w:t>produto final</w:t>
      </w:r>
      <w:proofErr w:type="gramEnd"/>
      <w:r w:rsidR="00943AF3" w:rsidRPr="0088141F">
        <w:rPr>
          <w:rFonts w:ascii="Times New Roman" w:hAnsi="Times New Roman" w:cs="Times New Roman"/>
          <w:sz w:val="24"/>
          <w:szCs w:val="24"/>
        </w:rPr>
        <w:t>. A disseminação da técnica moderna elevou a produtividade do capital; ampliou o uso da terra; reduziu o uso de mão de obra; e difundiu a produção de alimentos baratos</w:t>
      </w:r>
      <w:r w:rsidR="00943AF3" w:rsidRPr="0088141F">
        <w:rPr>
          <w:rFonts w:ascii="Times New Roman" w:hAnsi="Times New Roman" w:cs="Times New Roman"/>
          <w:sz w:val="24"/>
          <w:szCs w:val="24"/>
          <w:vertAlign w:val="superscript"/>
        </w:rPr>
        <w:footnoteReference w:id="3"/>
      </w:r>
      <w:r w:rsidR="00943AF3" w:rsidRPr="0088141F">
        <w:rPr>
          <w:rFonts w:ascii="Times New Roman" w:hAnsi="Times New Roman" w:cs="Times New Roman"/>
          <w:sz w:val="24"/>
          <w:szCs w:val="24"/>
        </w:rPr>
        <w:t xml:space="preserve"> e intensivos em recursos naturais</w:t>
      </w:r>
      <w:r w:rsidR="00366ED7" w:rsidRPr="0088141F">
        <w:rPr>
          <w:rFonts w:ascii="Times New Roman" w:hAnsi="Times New Roman" w:cs="Times New Roman"/>
          <w:sz w:val="24"/>
          <w:szCs w:val="24"/>
        </w:rPr>
        <w:t xml:space="preserve"> (DELGADO, 2005</w:t>
      </w:r>
      <w:r w:rsidR="00321D60">
        <w:rPr>
          <w:rFonts w:ascii="Times New Roman" w:hAnsi="Times New Roman" w:cs="Times New Roman"/>
          <w:sz w:val="24"/>
          <w:szCs w:val="24"/>
        </w:rPr>
        <w:t>,</w:t>
      </w:r>
      <w:r w:rsidR="00366ED7" w:rsidRPr="0088141F">
        <w:rPr>
          <w:rFonts w:ascii="Times New Roman" w:hAnsi="Times New Roman" w:cs="Times New Roman"/>
          <w:sz w:val="24"/>
          <w:szCs w:val="24"/>
        </w:rPr>
        <w:t xml:space="preserve"> 2012</w:t>
      </w:r>
      <w:r w:rsidR="00743B4D">
        <w:rPr>
          <w:rFonts w:ascii="Times New Roman" w:hAnsi="Times New Roman" w:cs="Times New Roman"/>
          <w:sz w:val="24"/>
          <w:szCs w:val="24"/>
        </w:rPr>
        <w:t>;</w:t>
      </w:r>
      <w:r w:rsidR="00366ED7" w:rsidRPr="0088141F">
        <w:rPr>
          <w:rFonts w:ascii="Times New Roman" w:hAnsi="Times New Roman" w:cs="Times New Roman"/>
          <w:sz w:val="24"/>
          <w:szCs w:val="24"/>
        </w:rPr>
        <w:t xml:space="preserve"> ETXEZARRETA; 2006)</w:t>
      </w:r>
      <w:r w:rsidR="00943AF3" w:rsidRPr="0088141F">
        <w:rPr>
          <w:rFonts w:ascii="Times New Roman" w:hAnsi="Times New Roman" w:cs="Times New Roman"/>
          <w:sz w:val="24"/>
          <w:szCs w:val="24"/>
        </w:rPr>
        <w:t>.</w:t>
      </w:r>
    </w:p>
    <w:p w14:paraId="2CA2F5BA" w14:textId="2C250CC7" w:rsidR="00943AF3" w:rsidRPr="0088141F" w:rsidRDefault="00CF65E0" w:rsidP="0067789F">
      <w:pPr>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Para Delgado (2012) a</w:t>
      </w:r>
      <w:r w:rsidR="00943AF3" w:rsidRPr="0088141F">
        <w:rPr>
          <w:rFonts w:ascii="Times New Roman" w:hAnsi="Times New Roman" w:cs="Times New Roman"/>
          <w:sz w:val="24"/>
          <w:szCs w:val="24"/>
        </w:rPr>
        <w:t xml:space="preserve"> nova “modernização conservadora</w:t>
      </w:r>
      <w:r w:rsidR="005F2AF1" w:rsidRPr="0088141F">
        <w:rPr>
          <w:rFonts w:ascii="Times New Roman" w:hAnsi="Times New Roman" w:cs="Times New Roman"/>
          <w:sz w:val="24"/>
          <w:szCs w:val="24"/>
        </w:rPr>
        <w:t>”</w:t>
      </w:r>
      <w:r w:rsidR="00943AF3" w:rsidRPr="0088141F">
        <w:rPr>
          <w:rFonts w:ascii="Times New Roman" w:hAnsi="Times New Roman" w:cs="Times New Roman"/>
          <w:sz w:val="24"/>
          <w:szCs w:val="24"/>
        </w:rPr>
        <w:t xml:space="preserve">, </w:t>
      </w:r>
      <w:r w:rsidRPr="0088141F">
        <w:rPr>
          <w:rFonts w:ascii="Times New Roman" w:hAnsi="Times New Roman" w:cs="Times New Roman"/>
          <w:sz w:val="24"/>
          <w:szCs w:val="24"/>
        </w:rPr>
        <w:t xml:space="preserve">marcou também </w:t>
      </w:r>
      <w:r w:rsidR="00943AF3" w:rsidRPr="0088141F">
        <w:rPr>
          <w:rFonts w:ascii="Times New Roman" w:hAnsi="Times New Roman" w:cs="Times New Roman"/>
          <w:sz w:val="24"/>
          <w:szCs w:val="24"/>
        </w:rPr>
        <w:t xml:space="preserve">a derrota </w:t>
      </w:r>
      <w:r w:rsidRPr="0088141F">
        <w:rPr>
          <w:rFonts w:ascii="Times New Roman" w:hAnsi="Times New Roman" w:cs="Times New Roman"/>
          <w:sz w:val="24"/>
          <w:szCs w:val="24"/>
        </w:rPr>
        <w:t>d</w:t>
      </w:r>
      <w:r w:rsidR="00943AF3" w:rsidRPr="0088141F">
        <w:rPr>
          <w:rFonts w:ascii="Times New Roman" w:hAnsi="Times New Roman" w:cs="Times New Roman"/>
          <w:sz w:val="24"/>
          <w:szCs w:val="24"/>
        </w:rPr>
        <w:t>o movimento da reforma agrária. A questão foi redefinida, pelo governo militar, através do Estatuto da Terra, em novembro 1964</w:t>
      </w:r>
      <w:r w:rsidR="0028621B" w:rsidRPr="0088141F">
        <w:rPr>
          <w:rFonts w:ascii="Times New Roman" w:hAnsi="Times New Roman" w:cs="Times New Roman"/>
          <w:sz w:val="24"/>
          <w:szCs w:val="24"/>
        </w:rPr>
        <w:t>. N</w:t>
      </w:r>
      <w:r w:rsidR="00943AF3" w:rsidRPr="0088141F">
        <w:rPr>
          <w:rFonts w:ascii="Times New Roman" w:hAnsi="Times New Roman" w:cs="Times New Roman"/>
          <w:sz w:val="24"/>
          <w:szCs w:val="24"/>
        </w:rPr>
        <w:t>o entanto, uma vez aprovado o Estatuto, as dificuldades relacionadas à sua efetivação</w:t>
      </w:r>
      <w:r w:rsidR="004E5DFA">
        <w:rPr>
          <w:rFonts w:ascii="Times New Roman" w:hAnsi="Times New Roman" w:cs="Times New Roman"/>
          <w:sz w:val="24"/>
          <w:szCs w:val="24"/>
        </w:rPr>
        <w:t xml:space="preserve"> - </w:t>
      </w:r>
      <w:r w:rsidR="004B0F0A">
        <w:rPr>
          <w:rFonts w:ascii="Times New Roman" w:hAnsi="Times New Roman" w:cs="Times New Roman"/>
          <w:sz w:val="24"/>
          <w:szCs w:val="24"/>
        </w:rPr>
        <w:t xml:space="preserve">o </w:t>
      </w:r>
      <w:r w:rsidR="00943AF3" w:rsidRPr="00AF4EA3">
        <w:rPr>
          <w:rFonts w:ascii="Times New Roman" w:hAnsi="Times New Roman" w:cs="Times New Roman"/>
          <w:sz w:val="24"/>
          <w:szCs w:val="24"/>
        </w:rPr>
        <w:t>uso da tributação</w:t>
      </w:r>
      <w:r w:rsidR="009C75E5">
        <w:rPr>
          <w:rFonts w:ascii="Times New Roman" w:hAnsi="Times New Roman" w:cs="Times New Roman"/>
          <w:sz w:val="24"/>
          <w:szCs w:val="24"/>
        </w:rPr>
        <w:t xml:space="preserve"> </w:t>
      </w:r>
      <w:r w:rsidR="00943AF3" w:rsidRPr="00AF4EA3">
        <w:rPr>
          <w:rFonts w:ascii="Times New Roman" w:hAnsi="Times New Roman" w:cs="Times New Roman"/>
          <w:sz w:val="24"/>
          <w:szCs w:val="24"/>
        </w:rPr>
        <w:t xml:space="preserve">, </w:t>
      </w:r>
      <w:r w:rsidR="00CD1F07" w:rsidRPr="00AF4EA3">
        <w:rPr>
          <w:rFonts w:ascii="Times New Roman" w:hAnsi="Times New Roman" w:cs="Times New Roman"/>
          <w:sz w:val="24"/>
          <w:szCs w:val="24"/>
        </w:rPr>
        <w:t>como</w:t>
      </w:r>
      <w:r w:rsidR="0028621B" w:rsidRPr="00AF4EA3">
        <w:rPr>
          <w:rFonts w:ascii="Times New Roman" w:hAnsi="Times New Roman" w:cs="Times New Roman"/>
          <w:sz w:val="24"/>
          <w:szCs w:val="24"/>
        </w:rPr>
        <w:t xml:space="preserve"> </w:t>
      </w:r>
      <w:r w:rsidR="00A57455" w:rsidRPr="00AF4EA3">
        <w:rPr>
          <w:rFonts w:ascii="Times New Roman" w:hAnsi="Times New Roman" w:cs="Times New Roman"/>
          <w:sz w:val="24"/>
          <w:szCs w:val="24"/>
        </w:rPr>
        <w:t xml:space="preserve">principal </w:t>
      </w:r>
      <w:r w:rsidR="0028621B" w:rsidRPr="00AF4EA3">
        <w:rPr>
          <w:rFonts w:ascii="Times New Roman" w:hAnsi="Times New Roman" w:cs="Times New Roman"/>
          <w:sz w:val="24"/>
          <w:szCs w:val="24"/>
        </w:rPr>
        <w:t xml:space="preserve">instrumento </w:t>
      </w:r>
      <w:r w:rsidR="00A57455" w:rsidRPr="00AF4EA3">
        <w:rPr>
          <w:rFonts w:ascii="Times New Roman" w:hAnsi="Times New Roman" w:cs="Times New Roman"/>
          <w:sz w:val="24"/>
          <w:szCs w:val="24"/>
        </w:rPr>
        <w:t>de liberação de terra</w:t>
      </w:r>
      <w:r w:rsidR="00943AF3" w:rsidRPr="00AF4EA3">
        <w:rPr>
          <w:rFonts w:ascii="Times New Roman" w:hAnsi="Times New Roman" w:cs="Times New Roman"/>
          <w:sz w:val="24"/>
          <w:szCs w:val="24"/>
        </w:rPr>
        <w:t xml:space="preserve"> e à falta de aparelham</w:t>
      </w:r>
      <w:r w:rsidR="00C10220" w:rsidRPr="00AF4EA3">
        <w:rPr>
          <w:rFonts w:ascii="Times New Roman" w:hAnsi="Times New Roman" w:cs="Times New Roman"/>
          <w:sz w:val="24"/>
          <w:szCs w:val="24"/>
        </w:rPr>
        <w:t>ento</w:t>
      </w:r>
      <w:r w:rsidR="00943AF3" w:rsidRPr="00AF4EA3">
        <w:rPr>
          <w:rFonts w:ascii="Times New Roman" w:hAnsi="Times New Roman" w:cs="Times New Roman"/>
          <w:sz w:val="24"/>
          <w:szCs w:val="24"/>
        </w:rPr>
        <w:t xml:space="preserve"> do Estado</w:t>
      </w:r>
      <w:r w:rsidR="00D30294" w:rsidRPr="00AF4EA3">
        <w:rPr>
          <w:rFonts w:ascii="Times New Roman" w:hAnsi="Times New Roman" w:cs="Times New Roman"/>
          <w:sz w:val="24"/>
          <w:szCs w:val="24"/>
        </w:rPr>
        <w:t xml:space="preserve"> </w:t>
      </w:r>
      <w:r w:rsidR="009E08DE">
        <w:rPr>
          <w:rFonts w:ascii="Times New Roman" w:hAnsi="Times New Roman" w:cs="Times New Roman"/>
          <w:sz w:val="24"/>
          <w:szCs w:val="24"/>
        </w:rPr>
        <w:t xml:space="preserve">para </w:t>
      </w:r>
      <w:r w:rsidR="00C65C22">
        <w:rPr>
          <w:rFonts w:ascii="Times New Roman" w:hAnsi="Times New Roman" w:cs="Times New Roman"/>
          <w:sz w:val="24"/>
          <w:szCs w:val="24"/>
        </w:rPr>
        <w:t xml:space="preserve">definição de mecanismos e </w:t>
      </w:r>
      <w:r w:rsidR="00C9438E">
        <w:rPr>
          <w:rFonts w:ascii="Times New Roman" w:hAnsi="Times New Roman" w:cs="Times New Roman"/>
          <w:sz w:val="24"/>
          <w:szCs w:val="24"/>
        </w:rPr>
        <w:t>detalhamento</w:t>
      </w:r>
      <w:r w:rsidR="00C65C22">
        <w:rPr>
          <w:rFonts w:ascii="Times New Roman" w:hAnsi="Times New Roman" w:cs="Times New Roman"/>
          <w:sz w:val="24"/>
          <w:szCs w:val="24"/>
        </w:rPr>
        <w:t>s</w:t>
      </w:r>
      <w:r w:rsidR="00C9438E">
        <w:rPr>
          <w:rFonts w:ascii="Times New Roman" w:hAnsi="Times New Roman" w:cs="Times New Roman"/>
          <w:sz w:val="24"/>
          <w:szCs w:val="24"/>
        </w:rPr>
        <w:t xml:space="preserve"> dos</w:t>
      </w:r>
      <w:r w:rsidR="00075A54">
        <w:rPr>
          <w:rFonts w:ascii="Times New Roman" w:hAnsi="Times New Roman" w:cs="Times New Roman"/>
          <w:sz w:val="24"/>
          <w:szCs w:val="24"/>
        </w:rPr>
        <w:t xml:space="preserve"> critérios estipulados na Lei</w:t>
      </w:r>
      <w:r w:rsidR="00C9438E">
        <w:rPr>
          <w:rFonts w:ascii="Times New Roman" w:hAnsi="Times New Roman" w:cs="Times New Roman"/>
          <w:sz w:val="24"/>
          <w:szCs w:val="24"/>
        </w:rPr>
        <w:t xml:space="preserve"> </w:t>
      </w:r>
      <w:r w:rsidR="00D30294">
        <w:rPr>
          <w:rFonts w:ascii="Times New Roman" w:hAnsi="Times New Roman" w:cs="Times New Roman"/>
          <w:sz w:val="24"/>
          <w:szCs w:val="24"/>
        </w:rPr>
        <w:t xml:space="preserve">– </w:t>
      </w:r>
      <w:r w:rsidR="00943AF3" w:rsidRPr="0088141F">
        <w:rPr>
          <w:rFonts w:ascii="Times New Roman" w:hAnsi="Times New Roman" w:cs="Times New Roman"/>
          <w:sz w:val="24"/>
          <w:szCs w:val="24"/>
        </w:rPr>
        <w:t>fizeram</w:t>
      </w:r>
      <w:r w:rsidR="00D30294">
        <w:rPr>
          <w:rFonts w:ascii="Times New Roman" w:hAnsi="Times New Roman" w:cs="Times New Roman"/>
          <w:sz w:val="24"/>
          <w:szCs w:val="24"/>
        </w:rPr>
        <w:t xml:space="preserve"> </w:t>
      </w:r>
      <w:r w:rsidR="00943AF3" w:rsidRPr="0088141F">
        <w:rPr>
          <w:rFonts w:ascii="Times New Roman" w:hAnsi="Times New Roman" w:cs="Times New Roman"/>
          <w:sz w:val="24"/>
          <w:szCs w:val="24"/>
        </w:rPr>
        <w:t xml:space="preserve">com que </w:t>
      </w:r>
      <w:r w:rsidR="00C10220" w:rsidRPr="0088141F">
        <w:rPr>
          <w:rFonts w:ascii="Times New Roman" w:hAnsi="Times New Roman" w:cs="Times New Roman"/>
          <w:sz w:val="24"/>
          <w:szCs w:val="24"/>
        </w:rPr>
        <w:t>ele</w:t>
      </w:r>
      <w:r w:rsidR="00943AF3" w:rsidRPr="0088141F">
        <w:rPr>
          <w:rFonts w:ascii="Times New Roman" w:hAnsi="Times New Roman" w:cs="Times New Roman"/>
          <w:sz w:val="24"/>
          <w:szCs w:val="24"/>
        </w:rPr>
        <w:t xml:space="preserve"> perdesse sua efetividade (RAMOS, 2015). </w:t>
      </w:r>
      <w:r w:rsidR="00A57455" w:rsidRPr="0088141F">
        <w:rPr>
          <w:rFonts w:ascii="Times New Roman" w:hAnsi="Times New Roman" w:cs="Times New Roman"/>
          <w:sz w:val="24"/>
          <w:szCs w:val="24"/>
        </w:rPr>
        <w:t xml:space="preserve">Assim, o Estado </w:t>
      </w:r>
      <w:r w:rsidR="00943AF3" w:rsidRPr="0088141F">
        <w:rPr>
          <w:rFonts w:ascii="Times New Roman" w:hAnsi="Times New Roman" w:cs="Times New Roman"/>
          <w:sz w:val="24"/>
          <w:szCs w:val="24"/>
        </w:rPr>
        <w:t xml:space="preserve">ao </w:t>
      </w:r>
      <w:r w:rsidR="0028621B" w:rsidRPr="0088141F">
        <w:rPr>
          <w:rFonts w:ascii="Times New Roman" w:hAnsi="Times New Roman" w:cs="Times New Roman"/>
          <w:sz w:val="24"/>
          <w:szCs w:val="24"/>
        </w:rPr>
        <w:t xml:space="preserve">propô-lo </w:t>
      </w:r>
      <w:r w:rsidR="00943AF3" w:rsidRPr="0088141F">
        <w:rPr>
          <w:rFonts w:ascii="Times New Roman" w:hAnsi="Times New Roman" w:cs="Times New Roman"/>
          <w:sz w:val="24"/>
          <w:szCs w:val="24"/>
        </w:rPr>
        <w:t>de forma pacífica e nos marcos da sociedade democrática capitalista, criou uma legislação ambígua que impossibilitou o enfrentamento dos interesses dominantes dos proprietários de terra, desarticulou os movimentos sociais no campo e promoveu a passagem da crise agrária para a modernização agrícola (RAMOS, 2015).</w:t>
      </w:r>
    </w:p>
    <w:p w14:paraId="02B9B611" w14:textId="2EC7746E" w:rsidR="00943AF3" w:rsidRPr="0088141F" w:rsidRDefault="00943AF3" w:rsidP="0067789F">
      <w:pPr>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 xml:space="preserve">A partir da “modernização”, o crescimento do setor agropecuário brasileiro pode ser sistematizado em três momentos: </w:t>
      </w:r>
      <w:r w:rsidR="00E8657B">
        <w:rPr>
          <w:rFonts w:ascii="Times New Roman" w:hAnsi="Times New Roman" w:cs="Times New Roman"/>
          <w:sz w:val="24"/>
          <w:szCs w:val="24"/>
        </w:rPr>
        <w:t xml:space="preserve">i) </w:t>
      </w:r>
      <w:r w:rsidRPr="0088141F">
        <w:rPr>
          <w:rFonts w:ascii="Times New Roman" w:hAnsi="Times New Roman" w:cs="Times New Roman"/>
          <w:sz w:val="24"/>
          <w:szCs w:val="24"/>
        </w:rPr>
        <w:t xml:space="preserve">de 1967/9 a 1985/7, com traços definidos a partir da uma nova modernização conservadora; </w:t>
      </w:r>
      <w:proofErr w:type="spellStart"/>
      <w:r w:rsidR="00430521">
        <w:rPr>
          <w:rFonts w:ascii="Times New Roman" w:hAnsi="Times New Roman" w:cs="Times New Roman"/>
          <w:sz w:val="24"/>
          <w:szCs w:val="24"/>
        </w:rPr>
        <w:t>ii</w:t>
      </w:r>
      <w:proofErr w:type="spellEnd"/>
      <w:r w:rsidR="00430521">
        <w:rPr>
          <w:rFonts w:ascii="Times New Roman" w:hAnsi="Times New Roman" w:cs="Times New Roman"/>
          <w:sz w:val="24"/>
          <w:szCs w:val="24"/>
        </w:rPr>
        <w:t xml:space="preserve">) </w:t>
      </w:r>
      <w:r w:rsidR="00E8657B">
        <w:rPr>
          <w:rFonts w:ascii="Times New Roman" w:hAnsi="Times New Roman" w:cs="Times New Roman"/>
          <w:sz w:val="24"/>
          <w:szCs w:val="24"/>
        </w:rPr>
        <w:t xml:space="preserve">a </w:t>
      </w:r>
      <w:r w:rsidRPr="0088141F">
        <w:rPr>
          <w:rFonts w:ascii="Times New Roman" w:hAnsi="Times New Roman" w:cs="Times New Roman"/>
          <w:sz w:val="24"/>
          <w:szCs w:val="24"/>
        </w:rPr>
        <w:t xml:space="preserve">década de 1990, sendo um período curto, definido pela crise do setor e a criação de novos instrumentos de políticas públicas (como o PRONAF e ampliação de assentamentos rurais); e </w:t>
      </w:r>
      <w:proofErr w:type="spellStart"/>
      <w:r w:rsidR="00430521">
        <w:rPr>
          <w:rFonts w:ascii="Times New Roman" w:hAnsi="Times New Roman" w:cs="Times New Roman"/>
          <w:sz w:val="24"/>
          <w:szCs w:val="24"/>
        </w:rPr>
        <w:t>iii</w:t>
      </w:r>
      <w:proofErr w:type="spellEnd"/>
      <w:r w:rsidR="00430521">
        <w:rPr>
          <w:rFonts w:ascii="Times New Roman" w:hAnsi="Times New Roman" w:cs="Times New Roman"/>
          <w:sz w:val="24"/>
          <w:szCs w:val="24"/>
        </w:rPr>
        <w:t>)</w:t>
      </w:r>
      <w:r w:rsidRPr="0088141F">
        <w:rPr>
          <w:rFonts w:ascii="Times New Roman" w:hAnsi="Times New Roman" w:cs="Times New Roman"/>
          <w:sz w:val="24"/>
          <w:szCs w:val="24"/>
        </w:rPr>
        <w:t xml:space="preserve"> após 1999/2002, quando se deflagra um conjunto de mudanças externas e integradas aos complexos industriais, mercado de terras e ao sistema de crédito, no qual assume relevância o capital financeiro (DELGADO, 2012).</w:t>
      </w:r>
    </w:p>
    <w:p w14:paraId="298A6752" w14:textId="56EBDC6D" w:rsidR="00943AF3" w:rsidRPr="0088141F" w:rsidRDefault="00A57455" w:rsidP="0067789F">
      <w:pPr>
        <w:tabs>
          <w:tab w:val="num" w:pos="720"/>
        </w:tabs>
        <w:spacing w:after="0" w:line="240" w:lineRule="auto"/>
        <w:ind w:firstLine="709"/>
        <w:jc w:val="both"/>
        <w:rPr>
          <w:rFonts w:ascii="Times New Roman" w:hAnsi="Times New Roman" w:cs="Times New Roman"/>
          <w:sz w:val="24"/>
          <w:szCs w:val="24"/>
        </w:rPr>
      </w:pPr>
      <w:bookmarkStart w:id="6" w:name="_Hlk534204343"/>
      <w:r w:rsidRPr="0088141F">
        <w:rPr>
          <w:rFonts w:ascii="Times New Roman" w:hAnsi="Times New Roman" w:cs="Times New Roman"/>
          <w:sz w:val="24"/>
          <w:szCs w:val="24"/>
        </w:rPr>
        <w:lastRenderedPageBreak/>
        <w:t>Nos interessa aqui, discutir o terceiro momento, a</w:t>
      </w:r>
      <w:r w:rsidR="00943AF3" w:rsidRPr="0088141F">
        <w:rPr>
          <w:rFonts w:ascii="Times New Roman" w:hAnsi="Times New Roman" w:cs="Times New Roman"/>
          <w:sz w:val="24"/>
          <w:szCs w:val="24"/>
        </w:rPr>
        <w:t xml:space="preserve"> partir dos anos 2000, </w:t>
      </w:r>
      <w:r w:rsidRPr="0088141F">
        <w:rPr>
          <w:rFonts w:ascii="Times New Roman" w:hAnsi="Times New Roman" w:cs="Times New Roman"/>
          <w:sz w:val="24"/>
          <w:szCs w:val="24"/>
        </w:rPr>
        <w:t xml:space="preserve">quando </w:t>
      </w:r>
      <w:r w:rsidR="00430521" w:rsidRPr="0088141F">
        <w:rPr>
          <w:rFonts w:ascii="Times New Roman" w:hAnsi="Times New Roman" w:cs="Times New Roman"/>
          <w:sz w:val="24"/>
          <w:szCs w:val="24"/>
        </w:rPr>
        <w:t>se difunde</w:t>
      </w:r>
      <w:r w:rsidR="00943AF3" w:rsidRPr="0088141F">
        <w:rPr>
          <w:rFonts w:ascii="Times New Roman" w:hAnsi="Times New Roman" w:cs="Times New Roman"/>
          <w:sz w:val="24"/>
          <w:szCs w:val="24"/>
        </w:rPr>
        <w:t xml:space="preserve"> </w:t>
      </w:r>
      <w:r w:rsidRPr="0088141F">
        <w:rPr>
          <w:rFonts w:ascii="Times New Roman" w:hAnsi="Times New Roman" w:cs="Times New Roman"/>
          <w:sz w:val="24"/>
          <w:szCs w:val="24"/>
        </w:rPr>
        <w:t xml:space="preserve">no país </w:t>
      </w:r>
      <w:r w:rsidR="00943AF3" w:rsidRPr="0088141F">
        <w:rPr>
          <w:rFonts w:ascii="Times New Roman" w:hAnsi="Times New Roman" w:cs="Times New Roman"/>
          <w:sz w:val="24"/>
          <w:szCs w:val="24"/>
        </w:rPr>
        <w:t>o conceito de “agronegócio”</w:t>
      </w:r>
      <w:r w:rsidR="00943AF3" w:rsidRPr="0088141F">
        <w:rPr>
          <w:rStyle w:val="Refdenotaderodap"/>
          <w:rFonts w:ascii="Times New Roman" w:hAnsi="Times New Roman" w:cs="Times New Roman"/>
          <w:sz w:val="24"/>
          <w:szCs w:val="24"/>
        </w:rPr>
        <w:footnoteReference w:id="4"/>
      </w:r>
      <w:r w:rsidR="00943AF3" w:rsidRPr="0088141F">
        <w:rPr>
          <w:rFonts w:ascii="Times New Roman" w:hAnsi="Times New Roman" w:cs="Times New Roman"/>
          <w:sz w:val="24"/>
          <w:szCs w:val="24"/>
        </w:rPr>
        <w:t>, defini</w:t>
      </w:r>
      <w:r w:rsidRPr="0088141F">
        <w:rPr>
          <w:rFonts w:ascii="Times New Roman" w:hAnsi="Times New Roman" w:cs="Times New Roman"/>
          <w:sz w:val="24"/>
          <w:szCs w:val="24"/>
        </w:rPr>
        <w:t>ndo</w:t>
      </w:r>
      <w:r w:rsidR="00943AF3" w:rsidRPr="0088141F">
        <w:rPr>
          <w:rFonts w:ascii="Times New Roman" w:hAnsi="Times New Roman" w:cs="Times New Roman"/>
          <w:sz w:val="24"/>
          <w:szCs w:val="24"/>
        </w:rPr>
        <w:t xml:space="preserve"> o atual </w:t>
      </w:r>
      <w:r w:rsidRPr="0088141F">
        <w:rPr>
          <w:rFonts w:ascii="Times New Roman" w:hAnsi="Times New Roman" w:cs="Times New Roman"/>
          <w:sz w:val="24"/>
          <w:szCs w:val="24"/>
        </w:rPr>
        <w:t>período</w:t>
      </w:r>
      <w:r w:rsidR="00943AF3" w:rsidRPr="0088141F">
        <w:rPr>
          <w:rFonts w:ascii="Times New Roman" w:hAnsi="Times New Roman" w:cs="Times New Roman"/>
          <w:sz w:val="24"/>
          <w:szCs w:val="24"/>
        </w:rPr>
        <w:t xml:space="preserve"> da agricultura, a partir do projeto neoliberal. O termo</w:t>
      </w:r>
      <w:r w:rsidR="00B931CC" w:rsidRPr="0088141F">
        <w:rPr>
          <w:rFonts w:ascii="Times New Roman" w:hAnsi="Times New Roman" w:cs="Times New Roman"/>
          <w:sz w:val="24"/>
          <w:szCs w:val="24"/>
        </w:rPr>
        <w:t xml:space="preserve">, já conhecido em muitos países, </w:t>
      </w:r>
      <w:r w:rsidR="006C1475" w:rsidRPr="0088141F">
        <w:rPr>
          <w:rFonts w:ascii="Times New Roman" w:hAnsi="Times New Roman" w:cs="Times New Roman"/>
          <w:sz w:val="24"/>
          <w:szCs w:val="24"/>
        </w:rPr>
        <w:t>foi</w:t>
      </w:r>
      <w:r w:rsidR="00943AF3" w:rsidRPr="0088141F">
        <w:rPr>
          <w:rFonts w:ascii="Times New Roman" w:hAnsi="Times New Roman" w:cs="Times New Roman"/>
          <w:sz w:val="24"/>
          <w:szCs w:val="24"/>
        </w:rPr>
        <w:t xml:space="preserve"> amplamente propagado com a globalização e representa “a soma total das operações de produção e distribuição de suprimentos agrícolas, operações de produção nas unidades agrícolas, do armazenamento, do processamento, e da distribuição dos produtos agrícolas e itens produzidos” (MENDES, 2007, p. 48). O agronegócio representa um grande setor agregador de atividades relacionadas à produção agrícola, com dinâmicas intercaladas, sendo que o comando vem dos agentes de maior influência na cadeia produtiva.</w:t>
      </w:r>
    </w:p>
    <w:bookmarkEnd w:id="6"/>
    <w:p w14:paraId="4EB0D2E5" w14:textId="441D2CEA" w:rsidR="00943AF3" w:rsidRPr="0088141F" w:rsidRDefault="00943AF3" w:rsidP="0067789F">
      <w:pPr>
        <w:tabs>
          <w:tab w:val="num" w:pos="720"/>
        </w:tabs>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 xml:space="preserve">No Brasil, </w:t>
      </w:r>
      <w:r w:rsidR="00B931CC" w:rsidRPr="0088141F">
        <w:rPr>
          <w:rFonts w:ascii="Times New Roman" w:hAnsi="Times New Roman" w:cs="Times New Roman"/>
          <w:sz w:val="24"/>
          <w:szCs w:val="24"/>
        </w:rPr>
        <w:t xml:space="preserve">com </w:t>
      </w:r>
      <w:r w:rsidRPr="0088141F">
        <w:rPr>
          <w:rFonts w:ascii="Times New Roman" w:hAnsi="Times New Roman" w:cs="Times New Roman"/>
          <w:sz w:val="24"/>
          <w:szCs w:val="24"/>
        </w:rPr>
        <w:t>o setor primário-exportador se</w:t>
      </w:r>
      <w:r w:rsidR="00B931CC" w:rsidRPr="0088141F">
        <w:rPr>
          <w:rFonts w:ascii="Times New Roman" w:hAnsi="Times New Roman" w:cs="Times New Roman"/>
          <w:sz w:val="24"/>
          <w:szCs w:val="24"/>
        </w:rPr>
        <w:t>ndo</w:t>
      </w:r>
      <w:r w:rsidRPr="0088141F">
        <w:rPr>
          <w:rFonts w:ascii="Times New Roman" w:hAnsi="Times New Roman" w:cs="Times New Roman"/>
          <w:sz w:val="24"/>
          <w:szCs w:val="24"/>
        </w:rPr>
        <w:t>, novamente, escalado para gerar saldos comerciais, para fazer frente aos saldos negativos do Balanço de Pagamentos, após a desvalorização cambial</w:t>
      </w:r>
      <w:r w:rsidR="006C1475" w:rsidRPr="0088141F">
        <w:rPr>
          <w:rFonts w:ascii="Times New Roman" w:hAnsi="Times New Roman" w:cs="Times New Roman"/>
          <w:sz w:val="24"/>
          <w:szCs w:val="24"/>
        </w:rPr>
        <w:t>, em 1999</w:t>
      </w:r>
      <w:r w:rsidRPr="0088141F">
        <w:rPr>
          <w:rFonts w:ascii="Times New Roman" w:hAnsi="Times New Roman" w:cs="Times New Roman"/>
          <w:sz w:val="24"/>
          <w:szCs w:val="24"/>
        </w:rPr>
        <w:t xml:space="preserve">. O sucesso aparente das exportações de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agrícolas e minerais brasileiras, d</w:t>
      </w:r>
      <w:r w:rsidR="00B931CC" w:rsidRPr="0088141F">
        <w:rPr>
          <w:rFonts w:ascii="Times New Roman" w:hAnsi="Times New Roman" w:cs="Times New Roman"/>
          <w:sz w:val="24"/>
          <w:szCs w:val="24"/>
        </w:rPr>
        <w:t>eu</w:t>
      </w:r>
      <w:r w:rsidRPr="0088141F">
        <w:rPr>
          <w:rFonts w:ascii="Times New Roman" w:hAnsi="Times New Roman" w:cs="Times New Roman"/>
          <w:sz w:val="24"/>
          <w:szCs w:val="24"/>
        </w:rPr>
        <w:t xml:space="preserve"> novo impulso ao agronegócio nacional, através do incremento tecnológico e a especialização produtiva, além do aumento da participação regional de estados produtores de bens primários no saldo comercial. Esse aumento da oferta de produtos agropecuários, bem como, os saldos comerciais nacionais, encontram sustentação, entre 2003 e 2007, no aumento da demanda mundial, particularmente pelo “efeito China” (CANO, 2011; MACEDO, 2011). Nesse sentido, o mercado chinês tem sido um dos principais destinos das </w:t>
      </w:r>
      <w:r w:rsidRPr="0088141F">
        <w:rPr>
          <w:rFonts w:ascii="Times New Roman" w:hAnsi="Times New Roman" w:cs="Times New Roman"/>
          <w:i/>
          <w:sz w:val="24"/>
          <w:szCs w:val="24"/>
        </w:rPr>
        <w:t>commodities</w:t>
      </w:r>
      <w:r w:rsidR="00FD6736">
        <w:rPr>
          <w:rFonts w:ascii="Times New Roman" w:hAnsi="Times New Roman" w:cs="Times New Roman"/>
          <w:i/>
          <w:sz w:val="24"/>
          <w:szCs w:val="24"/>
        </w:rPr>
        <w:t xml:space="preserve"> </w:t>
      </w:r>
      <w:r w:rsidR="00FD6736">
        <w:rPr>
          <w:rFonts w:ascii="Times New Roman" w:hAnsi="Times New Roman" w:cs="Times New Roman"/>
          <w:iCs/>
          <w:sz w:val="24"/>
          <w:szCs w:val="24"/>
        </w:rPr>
        <w:t>brasileiras</w:t>
      </w:r>
      <w:r w:rsidRPr="0088141F">
        <w:rPr>
          <w:rFonts w:ascii="Times New Roman" w:hAnsi="Times New Roman" w:cs="Times New Roman"/>
          <w:sz w:val="24"/>
          <w:szCs w:val="24"/>
        </w:rPr>
        <w:t>, em um momento que a internacionalização do capital se apresenta como tendência.</w:t>
      </w:r>
    </w:p>
    <w:p w14:paraId="7BD67812" w14:textId="06C56515" w:rsidR="00943AF3" w:rsidRPr="0088141F" w:rsidRDefault="00943AF3" w:rsidP="0067789F">
      <w:pPr>
        <w:tabs>
          <w:tab w:val="num" w:pos="720"/>
        </w:tabs>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Outro fator relevante é o processo intenso de valorização de terras</w:t>
      </w:r>
      <w:r w:rsidRPr="0088141F">
        <w:rPr>
          <w:rStyle w:val="Refdenotaderodap"/>
          <w:rFonts w:ascii="Times New Roman" w:hAnsi="Times New Roman" w:cs="Times New Roman"/>
          <w:sz w:val="24"/>
          <w:szCs w:val="24"/>
        </w:rPr>
        <w:footnoteReference w:id="5"/>
      </w:r>
      <w:r w:rsidRPr="0088141F">
        <w:rPr>
          <w:rFonts w:ascii="Times New Roman" w:hAnsi="Times New Roman" w:cs="Times New Roman"/>
          <w:sz w:val="24"/>
          <w:szCs w:val="24"/>
        </w:rPr>
        <w:t>, desencadeado com o ciclo de valorização d</w:t>
      </w:r>
      <w:r w:rsidR="00EB1771">
        <w:rPr>
          <w:rFonts w:ascii="Times New Roman" w:hAnsi="Times New Roman" w:cs="Times New Roman"/>
          <w:sz w:val="24"/>
          <w:szCs w:val="24"/>
        </w:rPr>
        <w:t>estas</w:t>
      </w:r>
      <w:r w:rsidRPr="0088141F">
        <w:rPr>
          <w:rFonts w:ascii="Times New Roman" w:hAnsi="Times New Roman" w:cs="Times New Roman"/>
          <w:sz w:val="24"/>
          <w:szCs w:val="24"/>
        </w:rPr>
        <w:t xml:space="preserv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agrícolas, a partir dos anos 2000. No Brasil, produtos como soja, algodão, milho e cana-de-açúcar, que demandam grandes extensões territoriais, fizeram com que a terra e, singularmente, sua extensão, fossem valorizadas. Com efeito, para Delgado (2012), o agronegócio tornou-se um espaço peculiar de valorização da riqueza, proporcionado pelo crescimento do mercado de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e pela fraca política fundiária. </w:t>
      </w:r>
    </w:p>
    <w:p w14:paraId="5A8AD7B5" w14:textId="77777777" w:rsidR="00943AF3" w:rsidRPr="0088141F" w:rsidRDefault="00943AF3" w:rsidP="0067789F">
      <w:pPr>
        <w:tabs>
          <w:tab w:val="num" w:pos="720"/>
        </w:tabs>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Surge, no mercado de terra, a formação de grupos econômicos, responsáveis pela negociação no mercado financeiro de ações de terras (áreas agricultáveis, em valorização), disponibilizando contratos para investidores no mercado global.</w:t>
      </w:r>
      <w:r w:rsidRPr="0088141F">
        <w:rPr>
          <w:rStyle w:val="Refdenotaderodap"/>
          <w:rFonts w:ascii="Times New Roman" w:hAnsi="Times New Roman" w:cs="Times New Roman"/>
          <w:sz w:val="24"/>
          <w:szCs w:val="24"/>
        </w:rPr>
        <w:footnoteReference w:id="6"/>
      </w:r>
      <w:r w:rsidRPr="0088141F">
        <w:rPr>
          <w:rFonts w:ascii="Times New Roman" w:hAnsi="Times New Roman" w:cs="Times New Roman"/>
          <w:sz w:val="24"/>
          <w:szCs w:val="24"/>
        </w:rPr>
        <w:t xml:space="preserve"> De acordo com Delgado (2016), esse movimento de valorização e especulação está baseado em um tripé, que contempla: 1) </w:t>
      </w:r>
      <w:proofErr w:type="spellStart"/>
      <w:r w:rsidRPr="0088141F">
        <w:rPr>
          <w:rFonts w:ascii="Times New Roman" w:hAnsi="Times New Roman" w:cs="Times New Roman"/>
          <w:sz w:val="24"/>
          <w:szCs w:val="24"/>
        </w:rPr>
        <w:t>mercadorização</w:t>
      </w:r>
      <w:proofErr w:type="spellEnd"/>
      <w:r w:rsidRPr="0088141F">
        <w:rPr>
          <w:rFonts w:ascii="Times New Roman" w:hAnsi="Times New Roman" w:cs="Times New Roman"/>
          <w:sz w:val="24"/>
          <w:szCs w:val="24"/>
        </w:rPr>
        <w:t xml:space="preserve"> da terra; 2) forte concentração fundiária em estrutura agrária altamente desigual; 3) tendência à internacionalização</w:t>
      </w:r>
      <w:r w:rsidRPr="0088141F">
        <w:rPr>
          <w:rStyle w:val="Refdenotaderodap"/>
          <w:rFonts w:ascii="Times New Roman" w:hAnsi="Times New Roman" w:cs="Times New Roman"/>
          <w:sz w:val="24"/>
          <w:szCs w:val="24"/>
        </w:rPr>
        <w:footnoteReference w:id="7"/>
      </w:r>
      <w:r w:rsidRPr="0088141F">
        <w:rPr>
          <w:rFonts w:ascii="Times New Roman" w:hAnsi="Times New Roman" w:cs="Times New Roman"/>
          <w:sz w:val="24"/>
          <w:szCs w:val="24"/>
        </w:rPr>
        <w:t>, de maneira especial, nos ramos com nexos interindustriais mais diretos.</w:t>
      </w:r>
    </w:p>
    <w:p w14:paraId="1E783167" w14:textId="5A32DB2F" w:rsidR="004C7A81" w:rsidRPr="0088141F" w:rsidRDefault="004C7A81" w:rsidP="004C7A81">
      <w:pPr>
        <w:tabs>
          <w:tab w:val="num" w:pos="720"/>
        </w:tabs>
        <w:spacing w:after="0" w:line="240" w:lineRule="auto"/>
        <w:ind w:firstLine="709"/>
        <w:jc w:val="both"/>
        <w:rPr>
          <w:rFonts w:ascii="Times New Roman" w:hAnsi="Times New Roman" w:cs="Times New Roman"/>
          <w:sz w:val="24"/>
          <w:szCs w:val="24"/>
        </w:rPr>
      </w:pPr>
      <w:bookmarkStart w:id="8" w:name="_Hlk534204188"/>
      <w:r w:rsidRPr="0088141F">
        <w:rPr>
          <w:rFonts w:ascii="Times New Roman" w:hAnsi="Times New Roman" w:cs="Times New Roman"/>
          <w:sz w:val="24"/>
          <w:szCs w:val="24"/>
        </w:rPr>
        <w:t xml:space="preserve">O crescimento do mercado de terras confronta com a ideia de que o padrão do desenvolvimento do agronegócio está assentado nos investimentos de capital, uma vez que na produção de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o capital não se apresenta como um problema para o aumento da produção. Nesse modo de produção, a terra se torna o ativo em valorização,</w:t>
      </w:r>
      <w:r w:rsidR="00733D3A">
        <w:rPr>
          <w:rFonts w:ascii="Times New Roman" w:hAnsi="Times New Roman" w:cs="Times New Roman"/>
          <w:sz w:val="24"/>
          <w:szCs w:val="24"/>
        </w:rPr>
        <w:t xml:space="preserve"> favorecido</w:t>
      </w:r>
      <w:r w:rsidRPr="0088141F">
        <w:rPr>
          <w:rFonts w:ascii="Times New Roman" w:hAnsi="Times New Roman" w:cs="Times New Roman"/>
          <w:sz w:val="24"/>
          <w:szCs w:val="24"/>
        </w:rPr>
        <w:t xml:space="preserve"> pela falta de uma forte política fundiária.</w:t>
      </w:r>
    </w:p>
    <w:p w14:paraId="040C118A" w14:textId="77777777" w:rsidR="004C7A81" w:rsidRPr="0088141F" w:rsidRDefault="004C7A81" w:rsidP="004C7A81">
      <w:pPr>
        <w:tabs>
          <w:tab w:val="num" w:pos="720"/>
        </w:tabs>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 xml:space="preserve">Nesse sentido, a expansão do setor agropecuário, no contexto do agronegócio, torna-o ainda mais complexo, sobretudo, quando os ganhos econômicos e os impactos sobre os </w:t>
      </w:r>
      <w:r w:rsidRPr="0088141F">
        <w:rPr>
          <w:rFonts w:ascii="Times New Roman" w:hAnsi="Times New Roman" w:cs="Times New Roman"/>
          <w:sz w:val="24"/>
          <w:szCs w:val="24"/>
        </w:rPr>
        <w:lastRenderedPageBreak/>
        <w:t>agregados macroeconômicos sobressaem na discussão sobre desenvolvimento agrícola. A seguir serão apresentados aspectos da estrutura produtiva que tem se consolidado no Estado de Mato Grosso e alguns de seus impactos fundiários e ambientais.</w:t>
      </w:r>
    </w:p>
    <w:bookmarkEnd w:id="8"/>
    <w:p w14:paraId="5E099BCB" w14:textId="77777777" w:rsidR="000B24F3" w:rsidRPr="0088141F" w:rsidRDefault="000B24F3" w:rsidP="000B740B">
      <w:pPr>
        <w:spacing w:after="0" w:line="240" w:lineRule="auto"/>
        <w:jc w:val="both"/>
        <w:rPr>
          <w:rFonts w:ascii="Times New Roman" w:hAnsi="Times New Roman" w:cs="Times New Roman"/>
          <w:sz w:val="24"/>
          <w:szCs w:val="24"/>
        </w:rPr>
      </w:pPr>
    </w:p>
    <w:bookmarkEnd w:id="5"/>
    <w:p w14:paraId="31AAB195" w14:textId="77777777" w:rsidR="00977B76" w:rsidRPr="0088141F" w:rsidRDefault="00B22804" w:rsidP="000B740B">
      <w:pPr>
        <w:pStyle w:val="Ttulo2"/>
        <w:tabs>
          <w:tab w:val="left" w:pos="7200"/>
        </w:tabs>
        <w:spacing w:before="0" w:after="0" w:line="240" w:lineRule="auto"/>
        <w:jc w:val="both"/>
        <w:rPr>
          <w:rFonts w:ascii="Times New Roman" w:hAnsi="Times New Roman" w:cs="Times New Roman"/>
          <w:sz w:val="24"/>
          <w:szCs w:val="24"/>
        </w:rPr>
      </w:pPr>
      <w:r w:rsidRPr="0088141F">
        <w:rPr>
          <w:rFonts w:ascii="Times New Roman" w:hAnsi="Times New Roman" w:cs="Times New Roman"/>
          <w:sz w:val="24"/>
          <w:szCs w:val="24"/>
        </w:rPr>
        <w:t>3</w:t>
      </w:r>
      <w:r w:rsidR="00943AF3" w:rsidRPr="0088141F">
        <w:rPr>
          <w:rFonts w:ascii="Times New Roman" w:hAnsi="Times New Roman" w:cs="Times New Roman"/>
          <w:sz w:val="24"/>
          <w:szCs w:val="24"/>
        </w:rPr>
        <w:t xml:space="preserve"> </w:t>
      </w:r>
      <w:r w:rsidR="00BA0B34" w:rsidRPr="0088141F">
        <w:rPr>
          <w:rFonts w:ascii="Times New Roman" w:hAnsi="Times New Roman" w:cs="Times New Roman"/>
          <w:sz w:val="24"/>
          <w:szCs w:val="24"/>
        </w:rPr>
        <w:t xml:space="preserve">A </w:t>
      </w:r>
      <w:r w:rsidR="001A0FB4" w:rsidRPr="0088141F">
        <w:rPr>
          <w:rFonts w:ascii="Times New Roman" w:hAnsi="Times New Roman" w:cs="Times New Roman"/>
          <w:sz w:val="24"/>
          <w:szCs w:val="24"/>
        </w:rPr>
        <w:t>E</w:t>
      </w:r>
      <w:r w:rsidR="00BA0B34" w:rsidRPr="0088141F">
        <w:rPr>
          <w:rFonts w:ascii="Times New Roman" w:hAnsi="Times New Roman" w:cs="Times New Roman"/>
          <w:sz w:val="24"/>
          <w:szCs w:val="24"/>
        </w:rPr>
        <w:t xml:space="preserve">xpansão </w:t>
      </w:r>
      <w:r w:rsidRPr="0088141F">
        <w:rPr>
          <w:rFonts w:ascii="Times New Roman" w:hAnsi="Times New Roman" w:cs="Times New Roman"/>
          <w:sz w:val="24"/>
          <w:szCs w:val="24"/>
        </w:rPr>
        <w:t>Produtiva da Agropecuária Mato-grossense: O crescimento voltado para fora</w:t>
      </w:r>
    </w:p>
    <w:p w14:paraId="7C6B7E1D" w14:textId="77777777" w:rsidR="000B740B" w:rsidRPr="0088141F" w:rsidRDefault="000B740B" w:rsidP="000130EB">
      <w:pPr>
        <w:spacing w:after="0" w:line="240" w:lineRule="auto"/>
        <w:jc w:val="both"/>
        <w:rPr>
          <w:rFonts w:ascii="Times New Roman" w:hAnsi="Times New Roman" w:cs="Times New Roman"/>
          <w:sz w:val="24"/>
          <w:szCs w:val="24"/>
        </w:rPr>
      </w:pPr>
    </w:p>
    <w:p w14:paraId="42D20856" w14:textId="77777777" w:rsidR="000B740B" w:rsidRPr="0088141F" w:rsidRDefault="001A0FB4" w:rsidP="000B740B">
      <w:pPr>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A partir da década de 1990, com a intensificação da abertura econômica e financeira, a retomada da política regional se deu pela mudança da estratégia de desenvolvimento nacional, baseada na “montagem de uma base econômica que operava essencialmente no espaço nacional – embora fortemente penetrada por agentes econômicos transnacionais” (ARAÚJO, 1999, p. 147), por outra determinada, a partir da inserção competitiva de espaços regionais em uma economia internacionalizada.</w:t>
      </w:r>
      <w:r w:rsidR="000B740B" w:rsidRPr="0088141F">
        <w:rPr>
          <w:rFonts w:ascii="Times New Roman" w:hAnsi="Times New Roman" w:cs="Times New Roman"/>
          <w:sz w:val="24"/>
          <w:szCs w:val="24"/>
        </w:rPr>
        <w:t xml:space="preserve"> </w:t>
      </w:r>
    </w:p>
    <w:p w14:paraId="0E969101" w14:textId="30342D34" w:rsidR="001A0FB4" w:rsidRPr="0088141F" w:rsidRDefault="001A0FB4" w:rsidP="000B740B">
      <w:pPr>
        <w:spacing w:after="0" w:line="240" w:lineRule="auto"/>
        <w:ind w:firstLine="709"/>
        <w:jc w:val="both"/>
        <w:rPr>
          <w:rFonts w:ascii="Times New Roman" w:hAnsi="Times New Roman" w:cs="Times New Roman"/>
          <w:sz w:val="24"/>
          <w:szCs w:val="24"/>
        </w:rPr>
      </w:pPr>
      <w:r w:rsidRPr="0088141F">
        <w:rPr>
          <w:rFonts w:ascii="Times New Roman" w:hAnsi="Times New Roman" w:cs="Times New Roman"/>
          <w:sz w:val="24"/>
          <w:szCs w:val="24"/>
        </w:rPr>
        <w:t>Como efeito, verificou-se, n</w:t>
      </w:r>
      <w:r w:rsidR="006744A9">
        <w:rPr>
          <w:rFonts w:ascii="Times New Roman" w:hAnsi="Times New Roman" w:cs="Times New Roman"/>
          <w:sz w:val="24"/>
          <w:szCs w:val="24"/>
        </w:rPr>
        <w:t>est</w:t>
      </w:r>
      <w:r w:rsidRPr="0088141F">
        <w:rPr>
          <w:rFonts w:ascii="Times New Roman" w:hAnsi="Times New Roman" w:cs="Times New Roman"/>
          <w:sz w:val="24"/>
          <w:szCs w:val="24"/>
        </w:rPr>
        <w:t xml:space="preserve">a década e início dos anos 2000, a tendência de valorização de subespaços regionais, integrando-os aos mercados internacionais, particularmente de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com comando estratégico dos grandes grupos empresarias, que, por sua vez, acabam acentuando heterogeneidades espaciais (ARAÚJO, 1999). </w:t>
      </w:r>
    </w:p>
    <w:p w14:paraId="41458AF6" w14:textId="77777777" w:rsidR="00DD6A80" w:rsidRPr="0088141F" w:rsidRDefault="000B740B" w:rsidP="000B740B">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Nesse sentido, </w:t>
      </w:r>
      <w:r w:rsidR="001A0FB4" w:rsidRPr="0088141F">
        <w:rPr>
          <w:rFonts w:ascii="Times New Roman" w:hAnsi="Times New Roman" w:cs="Times New Roman"/>
          <w:sz w:val="24"/>
          <w:szCs w:val="24"/>
        </w:rPr>
        <w:t xml:space="preserve">Mato Grosso experimentou, a partir de 2003, um crescimento significativo que foi possível pelo aproveitamento que combinou uma base produtora, anteriormente construída, com o advento, no período atual, de fatores que tornaram muito favoráveis, nos mercados externos, os componentes (preços e quantidades) das </w:t>
      </w:r>
      <w:r w:rsidR="001A0FB4" w:rsidRPr="0088141F">
        <w:rPr>
          <w:rFonts w:ascii="Times New Roman" w:hAnsi="Times New Roman" w:cs="Times New Roman"/>
          <w:i/>
          <w:sz w:val="24"/>
          <w:szCs w:val="24"/>
        </w:rPr>
        <w:t>commodities</w:t>
      </w:r>
      <w:r w:rsidR="001A0FB4" w:rsidRPr="0088141F">
        <w:rPr>
          <w:rFonts w:ascii="Times New Roman" w:hAnsi="Times New Roman" w:cs="Times New Roman"/>
          <w:sz w:val="24"/>
          <w:szCs w:val="24"/>
        </w:rPr>
        <w:t xml:space="preserve"> agrícolas, extremamente adequadas àquela base. </w:t>
      </w:r>
    </w:p>
    <w:p w14:paraId="23F0D0AB" w14:textId="77777777" w:rsidR="001A0FB4" w:rsidRPr="0088141F" w:rsidRDefault="001A0FB4" w:rsidP="000B740B">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Em 2004, Mato Grosso ocupava a décima posição entre as unidades federadas com maior valor das exportações no país, sendo que, em 2014, ocupou a sexta posição (superando os estados do Pará, Espírito Santo e Bahia)</w:t>
      </w:r>
      <w:r w:rsidR="000B740B" w:rsidRPr="0088141F">
        <w:rPr>
          <w:rFonts w:ascii="Times New Roman" w:hAnsi="Times New Roman" w:cs="Times New Roman"/>
          <w:sz w:val="24"/>
          <w:szCs w:val="24"/>
        </w:rPr>
        <w:t xml:space="preserve"> e</w:t>
      </w:r>
      <w:r w:rsidRPr="0088141F">
        <w:rPr>
          <w:rFonts w:ascii="Times New Roman" w:hAnsi="Times New Roman" w:cs="Times New Roman"/>
          <w:sz w:val="24"/>
          <w:szCs w:val="24"/>
        </w:rPr>
        <w:t xml:space="preserve"> contribuindo, assim, para os superávits da balança comercial do agronegócio brasileiro.</w:t>
      </w:r>
      <w:r w:rsidR="00DD6A80" w:rsidRPr="0088141F">
        <w:rPr>
          <w:rFonts w:ascii="Times New Roman" w:hAnsi="Times New Roman" w:cs="Times New Roman"/>
          <w:sz w:val="24"/>
          <w:szCs w:val="24"/>
        </w:rPr>
        <w:t xml:space="preserve"> Esse desempenho se deveu, acentuadamente, à exportação dos produtos básicos.</w:t>
      </w:r>
    </w:p>
    <w:p w14:paraId="6881E6AB" w14:textId="7CD839D8" w:rsidR="006463BB" w:rsidRPr="0088141F" w:rsidRDefault="001A0FB4" w:rsidP="00605621">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No período entre 2004 e 201</w:t>
      </w:r>
      <w:r w:rsidR="000B740B" w:rsidRPr="0088141F">
        <w:rPr>
          <w:rFonts w:ascii="Times New Roman" w:hAnsi="Times New Roman" w:cs="Times New Roman"/>
          <w:sz w:val="24"/>
          <w:szCs w:val="24"/>
        </w:rPr>
        <w:t>9</w:t>
      </w:r>
      <w:r w:rsidRPr="0088141F">
        <w:rPr>
          <w:rFonts w:ascii="Times New Roman" w:hAnsi="Times New Roman" w:cs="Times New Roman"/>
          <w:sz w:val="24"/>
          <w:szCs w:val="24"/>
        </w:rPr>
        <w:t>, a pauta exportadora de Mato Grosso esteve composta, essencialmente, por quatro conjuntos de bens: soja e derivados, milho, carnes e derivados e algodão.</w:t>
      </w:r>
      <w:r w:rsidR="00605621" w:rsidRPr="0088141F">
        <w:rPr>
          <w:rFonts w:ascii="Times New Roman" w:hAnsi="Times New Roman" w:cs="Times New Roman"/>
          <w:sz w:val="24"/>
          <w:szCs w:val="24"/>
        </w:rPr>
        <w:t xml:space="preserve"> No último ano, as exportações (básicas e manufaturadas) derivadas desses quatro produtos principais somou 95% das exportações estaduais.</w:t>
      </w:r>
      <w:r w:rsidRPr="0088141F">
        <w:rPr>
          <w:rFonts w:ascii="Times New Roman" w:hAnsi="Times New Roman" w:cs="Times New Roman"/>
          <w:sz w:val="24"/>
          <w:szCs w:val="24"/>
        </w:rPr>
        <w:t xml:space="preserve"> O complexo soja chegou a representar 75,7% das exportações em 2004, reduziu a sua participação para </w:t>
      </w:r>
      <w:r w:rsidR="00605621" w:rsidRPr="0088141F">
        <w:rPr>
          <w:rFonts w:ascii="Times New Roman" w:hAnsi="Times New Roman" w:cs="Times New Roman"/>
          <w:sz w:val="24"/>
          <w:szCs w:val="24"/>
        </w:rPr>
        <w:t>53</w:t>
      </w:r>
      <w:r w:rsidRPr="0088141F">
        <w:rPr>
          <w:rFonts w:ascii="Times New Roman" w:hAnsi="Times New Roman" w:cs="Times New Roman"/>
          <w:sz w:val="24"/>
          <w:szCs w:val="24"/>
        </w:rPr>
        <w:t>%, em 201</w:t>
      </w:r>
      <w:r w:rsidR="00605621" w:rsidRPr="0088141F">
        <w:rPr>
          <w:rFonts w:ascii="Times New Roman" w:hAnsi="Times New Roman" w:cs="Times New Roman"/>
          <w:sz w:val="24"/>
          <w:szCs w:val="24"/>
        </w:rPr>
        <w:t>9</w:t>
      </w:r>
      <w:r w:rsidRPr="0088141F">
        <w:rPr>
          <w:rFonts w:ascii="Times New Roman" w:hAnsi="Times New Roman" w:cs="Times New Roman"/>
          <w:sz w:val="24"/>
          <w:szCs w:val="24"/>
        </w:rPr>
        <w:t xml:space="preserve">, </w:t>
      </w:r>
      <w:r w:rsidR="00C44674">
        <w:rPr>
          <w:rFonts w:ascii="Times New Roman" w:hAnsi="Times New Roman" w:cs="Times New Roman"/>
          <w:sz w:val="24"/>
          <w:szCs w:val="24"/>
        </w:rPr>
        <w:t>como</w:t>
      </w:r>
      <w:r w:rsidRPr="0088141F">
        <w:rPr>
          <w:rFonts w:ascii="Times New Roman" w:hAnsi="Times New Roman" w:cs="Times New Roman"/>
          <w:sz w:val="24"/>
          <w:szCs w:val="24"/>
        </w:rPr>
        <w:t xml:space="preserve"> resultado do crescimento da participação do milho, </w:t>
      </w:r>
      <w:r w:rsidR="00836731">
        <w:rPr>
          <w:rFonts w:ascii="Times New Roman" w:hAnsi="Times New Roman" w:cs="Times New Roman"/>
          <w:sz w:val="24"/>
          <w:szCs w:val="24"/>
        </w:rPr>
        <w:t>que</w:t>
      </w:r>
      <w:r w:rsidRPr="0088141F">
        <w:rPr>
          <w:rFonts w:ascii="Times New Roman" w:hAnsi="Times New Roman" w:cs="Times New Roman"/>
          <w:sz w:val="24"/>
          <w:szCs w:val="24"/>
        </w:rPr>
        <w:t xml:space="preserve"> no último ano chegou a </w:t>
      </w:r>
      <w:r w:rsidR="00605621" w:rsidRPr="0088141F">
        <w:rPr>
          <w:rFonts w:ascii="Times New Roman" w:hAnsi="Times New Roman" w:cs="Times New Roman"/>
          <w:sz w:val="24"/>
          <w:szCs w:val="24"/>
        </w:rPr>
        <w:t>24,3</w:t>
      </w:r>
      <w:r w:rsidRPr="0088141F">
        <w:rPr>
          <w:rFonts w:ascii="Times New Roman" w:hAnsi="Times New Roman" w:cs="Times New Roman"/>
          <w:sz w:val="24"/>
          <w:szCs w:val="24"/>
        </w:rPr>
        <w:t xml:space="preserve">%. As carnes (bovina, suína e avícolas) e o algodão tiveram participação de </w:t>
      </w:r>
      <w:r w:rsidR="00605621" w:rsidRPr="0088141F">
        <w:rPr>
          <w:rFonts w:ascii="Times New Roman" w:hAnsi="Times New Roman" w:cs="Times New Roman"/>
          <w:sz w:val="24"/>
          <w:szCs w:val="24"/>
        </w:rPr>
        <w:t>9</w:t>
      </w:r>
      <w:r w:rsidRPr="0088141F">
        <w:rPr>
          <w:rFonts w:ascii="Times New Roman" w:hAnsi="Times New Roman" w:cs="Times New Roman"/>
          <w:sz w:val="24"/>
          <w:szCs w:val="24"/>
        </w:rPr>
        <w:t>,</w:t>
      </w:r>
      <w:r w:rsidR="00605621" w:rsidRPr="0088141F">
        <w:rPr>
          <w:rFonts w:ascii="Times New Roman" w:hAnsi="Times New Roman" w:cs="Times New Roman"/>
          <w:sz w:val="24"/>
          <w:szCs w:val="24"/>
        </w:rPr>
        <w:t>1</w:t>
      </w:r>
      <w:r w:rsidRPr="0088141F">
        <w:rPr>
          <w:rFonts w:ascii="Times New Roman" w:hAnsi="Times New Roman" w:cs="Times New Roman"/>
          <w:sz w:val="24"/>
          <w:szCs w:val="24"/>
        </w:rPr>
        <w:t xml:space="preserve">% e </w:t>
      </w:r>
      <w:r w:rsidR="00605621" w:rsidRPr="0088141F">
        <w:rPr>
          <w:rFonts w:ascii="Times New Roman" w:hAnsi="Times New Roman" w:cs="Times New Roman"/>
          <w:sz w:val="24"/>
          <w:szCs w:val="24"/>
        </w:rPr>
        <w:t>9,3</w:t>
      </w:r>
      <w:r w:rsidRPr="0088141F">
        <w:rPr>
          <w:rFonts w:ascii="Times New Roman" w:hAnsi="Times New Roman" w:cs="Times New Roman"/>
          <w:sz w:val="24"/>
          <w:szCs w:val="24"/>
        </w:rPr>
        <w:t>%, respectivamente, em 201</w:t>
      </w:r>
      <w:r w:rsidR="00605621" w:rsidRPr="0088141F">
        <w:rPr>
          <w:rFonts w:ascii="Times New Roman" w:hAnsi="Times New Roman" w:cs="Times New Roman"/>
          <w:sz w:val="24"/>
          <w:szCs w:val="24"/>
        </w:rPr>
        <w:t>9</w:t>
      </w:r>
      <w:r w:rsidRPr="0088141F">
        <w:rPr>
          <w:rFonts w:ascii="Times New Roman" w:hAnsi="Times New Roman" w:cs="Times New Roman"/>
          <w:sz w:val="24"/>
          <w:szCs w:val="24"/>
        </w:rPr>
        <w:t xml:space="preserve">, restando, para os demais produtos de exportação, uma participação </w:t>
      </w:r>
      <w:r w:rsidR="00605621" w:rsidRPr="0088141F">
        <w:rPr>
          <w:rFonts w:ascii="Times New Roman" w:hAnsi="Times New Roman" w:cs="Times New Roman"/>
          <w:sz w:val="24"/>
          <w:szCs w:val="24"/>
        </w:rPr>
        <w:t>próxima</w:t>
      </w:r>
      <w:r w:rsidRPr="0088141F">
        <w:rPr>
          <w:rFonts w:ascii="Times New Roman" w:hAnsi="Times New Roman" w:cs="Times New Roman"/>
          <w:sz w:val="24"/>
          <w:szCs w:val="24"/>
        </w:rPr>
        <w:t xml:space="preserve"> a 5%</w:t>
      </w:r>
      <w:r w:rsidR="00605621" w:rsidRPr="0088141F">
        <w:rPr>
          <w:rFonts w:ascii="Times New Roman" w:hAnsi="Times New Roman" w:cs="Times New Roman"/>
          <w:sz w:val="24"/>
          <w:szCs w:val="24"/>
        </w:rPr>
        <w:t xml:space="preserve"> (COMEXSTAT, 2020)</w:t>
      </w:r>
      <w:r w:rsidRPr="0088141F">
        <w:rPr>
          <w:rFonts w:ascii="Times New Roman" w:hAnsi="Times New Roman" w:cs="Times New Roman"/>
          <w:sz w:val="24"/>
          <w:szCs w:val="24"/>
        </w:rPr>
        <w:t>.</w:t>
      </w:r>
    </w:p>
    <w:p w14:paraId="5A7B10F3" w14:textId="12E79E06" w:rsidR="00605621" w:rsidRPr="0088141F" w:rsidRDefault="00605621" w:rsidP="00605621">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Tais características de especialização regional e de comércio externo, estão associados fortemente, a ocupação do território mato-grossense ao longo de sua formação econômica feita com a apropriação privada e concentrada da terra, </w:t>
      </w:r>
      <w:r w:rsidR="00DD6A80" w:rsidRPr="0088141F">
        <w:rPr>
          <w:rFonts w:ascii="Times New Roman" w:hAnsi="Times New Roman" w:cs="Times New Roman"/>
          <w:sz w:val="24"/>
          <w:szCs w:val="24"/>
        </w:rPr>
        <w:t>com o apoio político e econômico do estado</w:t>
      </w:r>
      <w:r w:rsidRPr="0088141F">
        <w:rPr>
          <w:rFonts w:ascii="Times New Roman" w:hAnsi="Times New Roman" w:cs="Times New Roman"/>
          <w:sz w:val="24"/>
          <w:szCs w:val="24"/>
        </w:rPr>
        <w:t>, destaca</w:t>
      </w:r>
      <w:r w:rsidR="00DD6A80" w:rsidRPr="0088141F">
        <w:rPr>
          <w:rFonts w:ascii="Times New Roman" w:hAnsi="Times New Roman" w:cs="Times New Roman"/>
          <w:sz w:val="24"/>
          <w:szCs w:val="24"/>
        </w:rPr>
        <w:t>ndo</w:t>
      </w:r>
      <w:r w:rsidRPr="0088141F">
        <w:rPr>
          <w:rFonts w:ascii="Times New Roman" w:hAnsi="Times New Roman" w:cs="Times New Roman"/>
          <w:sz w:val="24"/>
          <w:szCs w:val="24"/>
        </w:rPr>
        <w:t xml:space="preserve">-se o acesso e a distribuição de recursos públicos (federais e estaduais). O </w:t>
      </w:r>
      <w:r w:rsidR="000130EB" w:rsidRPr="0088141F">
        <w:rPr>
          <w:rFonts w:ascii="Times New Roman" w:hAnsi="Times New Roman" w:cs="Times New Roman"/>
          <w:sz w:val="24"/>
          <w:szCs w:val="24"/>
        </w:rPr>
        <w:t xml:space="preserve">resultado é uma acentuada concentração fundiária e </w:t>
      </w:r>
      <w:r w:rsidR="00DD6A80" w:rsidRPr="0088141F">
        <w:rPr>
          <w:rFonts w:ascii="Times New Roman" w:hAnsi="Times New Roman" w:cs="Times New Roman"/>
          <w:sz w:val="24"/>
          <w:szCs w:val="24"/>
        </w:rPr>
        <w:t xml:space="preserve">especialização </w:t>
      </w:r>
      <w:r w:rsidR="000130EB" w:rsidRPr="0088141F">
        <w:rPr>
          <w:rFonts w:ascii="Times New Roman" w:hAnsi="Times New Roman" w:cs="Times New Roman"/>
          <w:sz w:val="24"/>
          <w:szCs w:val="24"/>
        </w:rPr>
        <w:t xml:space="preserve">produtiva, </w:t>
      </w:r>
      <w:r w:rsidR="000B3546">
        <w:rPr>
          <w:rFonts w:ascii="Times New Roman" w:hAnsi="Times New Roman" w:cs="Times New Roman"/>
          <w:sz w:val="24"/>
          <w:szCs w:val="24"/>
        </w:rPr>
        <w:t xml:space="preserve">com efeitos sobre o espaço e o ambiente, </w:t>
      </w:r>
      <w:r w:rsidR="000130EB" w:rsidRPr="0088141F">
        <w:rPr>
          <w:rFonts w:ascii="Times New Roman" w:hAnsi="Times New Roman" w:cs="Times New Roman"/>
          <w:sz w:val="24"/>
          <w:szCs w:val="24"/>
        </w:rPr>
        <w:t>conforme passa a ser exposto na</w:t>
      </w:r>
      <w:r w:rsidR="000B3546">
        <w:rPr>
          <w:rFonts w:ascii="Times New Roman" w:hAnsi="Times New Roman" w:cs="Times New Roman"/>
          <w:sz w:val="24"/>
          <w:szCs w:val="24"/>
        </w:rPr>
        <w:t>s</w:t>
      </w:r>
      <w:r w:rsidR="000130EB" w:rsidRPr="0088141F">
        <w:rPr>
          <w:rFonts w:ascii="Times New Roman" w:hAnsi="Times New Roman" w:cs="Times New Roman"/>
          <w:sz w:val="24"/>
          <w:szCs w:val="24"/>
        </w:rPr>
        <w:t xml:space="preserve"> </w:t>
      </w:r>
      <w:r w:rsidR="00312CB2">
        <w:rPr>
          <w:rFonts w:ascii="Times New Roman" w:hAnsi="Times New Roman" w:cs="Times New Roman"/>
          <w:sz w:val="24"/>
          <w:szCs w:val="24"/>
        </w:rPr>
        <w:t>próxima</w:t>
      </w:r>
      <w:r w:rsidR="000B3546">
        <w:rPr>
          <w:rFonts w:ascii="Times New Roman" w:hAnsi="Times New Roman" w:cs="Times New Roman"/>
          <w:sz w:val="24"/>
          <w:szCs w:val="24"/>
        </w:rPr>
        <w:t>s</w:t>
      </w:r>
      <w:r w:rsidR="000130EB" w:rsidRPr="0088141F">
        <w:rPr>
          <w:rFonts w:ascii="Times New Roman" w:hAnsi="Times New Roman" w:cs="Times New Roman"/>
          <w:sz w:val="24"/>
          <w:szCs w:val="24"/>
        </w:rPr>
        <w:t xml:space="preserve"> seç</w:t>
      </w:r>
      <w:r w:rsidR="000B3546">
        <w:rPr>
          <w:rFonts w:ascii="Times New Roman" w:hAnsi="Times New Roman" w:cs="Times New Roman"/>
          <w:sz w:val="24"/>
          <w:szCs w:val="24"/>
        </w:rPr>
        <w:t>ões</w:t>
      </w:r>
      <w:r w:rsidR="000130EB" w:rsidRPr="0088141F">
        <w:rPr>
          <w:rFonts w:ascii="Times New Roman" w:hAnsi="Times New Roman" w:cs="Times New Roman"/>
          <w:sz w:val="24"/>
          <w:szCs w:val="24"/>
        </w:rPr>
        <w:t>.</w:t>
      </w:r>
    </w:p>
    <w:p w14:paraId="3E462A85" w14:textId="77777777" w:rsidR="001A0FB4" w:rsidRPr="0088141F" w:rsidRDefault="001A0FB4" w:rsidP="00DD6A80">
      <w:pPr>
        <w:spacing w:after="0" w:line="240" w:lineRule="auto"/>
        <w:jc w:val="both"/>
        <w:rPr>
          <w:rFonts w:ascii="Times New Roman" w:hAnsi="Times New Roman" w:cs="Times New Roman"/>
          <w:sz w:val="24"/>
          <w:szCs w:val="24"/>
        </w:rPr>
      </w:pPr>
    </w:p>
    <w:p w14:paraId="24DA0DE7" w14:textId="77777777" w:rsidR="00977B76" w:rsidRPr="0088141F" w:rsidRDefault="00454339" w:rsidP="00977B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BA0B34" w:rsidRPr="0088141F">
        <w:rPr>
          <w:rFonts w:ascii="Times New Roman" w:hAnsi="Times New Roman" w:cs="Times New Roman"/>
          <w:b/>
          <w:sz w:val="24"/>
          <w:szCs w:val="24"/>
        </w:rPr>
        <w:t xml:space="preserve">.1 Aspectos </w:t>
      </w:r>
      <w:r w:rsidR="00876B88" w:rsidRPr="0088141F">
        <w:rPr>
          <w:rFonts w:ascii="Times New Roman" w:hAnsi="Times New Roman" w:cs="Times New Roman"/>
          <w:b/>
          <w:sz w:val="24"/>
          <w:szCs w:val="24"/>
        </w:rPr>
        <w:t>F</w:t>
      </w:r>
      <w:r w:rsidR="00AF5703" w:rsidRPr="0088141F">
        <w:rPr>
          <w:rFonts w:ascii="Times New Roman" w:hAnsi="Times New Roman" w:cs="Times New Roman"/>
          <w:b/>
          <w:sz w:val="24"/>
          <w:szCs w:val="24"/>
        </w:rPr>
        <w:t>undiários</w:t>
      </w:r>
      <w:r w:rsidR="00C40D1F" w:rsidRPr="0088141F">
        <w:rPr>
          <w:rFonts w:ascii="Times New Roman" w:hAnsi="Times New Roman" w:cs="Times New Roman"/>
          <w:b/>
          <w:sz w:val="24"/>
          <w:szCs w:val="24"/>
        </w:rPr>
        <w:t xml:space="preserve"> e de Uso da Terra</w:t>
      </w:r>
    </w:p>
    <w:p w14:paraId="5C542BBC" w14:textId="77777777" w:rsidR="00BA0B34" w:rsidRPr="0088141F" w:rsidRDefault="00BA0B34" w:rsidP="00977B76">
      <w:pPr>
        <w:spacing w:after="0" w:line="240" w:lineRule="auto"/>
        <w:jc w:val="both"/>
        <w:rPr>
          <w:rFonts w:ascii="Times New Roman" w:hAnsi="Times New Roman" w:cs="Times New Roman"/>
          <w:sz w:val="24"/>
          <w:szCs w:val="24"/>
        </w:rPr>
      </w:pPr>
    </w:p>
    <w:p w14:paraId="241EBCD1"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Os rumos que as economias mundial e brasileira tomaram, a partir do início do século XXI, provocaram impactos sobre as regiões produtoras de Mato Grosso, intensificando ou aprofundando processos e características locais. Isto ocorreu, de modo especial, nas áreas de Cerrado, mas atingiu, também, o bioma Amazônico estadual. Dois dos desdobramentos disso </w:t>
      </w:r>
      <w:r w:rsidRPr="0088141F">
        <w:rPr>
          <w:rFonts w:ascii="Times New Roman" w:hAnsi="Times New Roman" w:cs="Times New Roman"/>
          <w:sz w:val="24"/>
          <w:szCs w:val="24"/>
        </w:rPr>
        <w:lastRenderedPageBreak/>
        <w:t xml:space="preserve">têm sido a consolidação da estrutura agrária </w:t>
      </w:r>
      <w:r w:rsidR="00E41799" w:rsidRPr="0088141F">
        <w:rPr>
          <w:rFonts w:ascii="Times New Roman" w:hAnsi="Times New Roman" w:cs="Times New Roman"/>
          <w:sz w:val="24"/>
          <w:szCs w:val="24"/>
        </w:rPr>
        <w:t xml:space="preserve">concentrada </w:t>
      </w:r>
      <w:r w:rsidRPr="0088141F">
        <w:rPr>
          <w:rFonts w:ascii="Times New Roman" w:hAnsi="Times New Roman" w:cs="Times New Roman"/>
          <w:sz w:val="24"/>
          <w:szCs w:val="24"/>
        </w:rPr>
        <w:t>das principais produções agrícolas e</w:t>
      </w:r>
      <w:r w:rsidR="00876B88" w:rsidRPr="0088141F">
        <w:rPr>
          <w:rFonts w:ascii="Times New Roman" w:hAnsi="Times New Roman" w:cs="Times New Roman"/>
          <w:sz w:val="24"/>
          <w:szCs w:val="24"/>
        </w:rPr>
        <w:t xml:space="preserve"> a incorporação de novas áreas.</w:t>
      </w:r>
    </w:p>
    <w:p w14:paraId="4A3E5885" w14:textId="77777777" w:rsidR="006A3131" w:rsidRPr="0088141F" w:rsidRDefault="00B83278" w:rsidP="00E41799">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w:t>
      </w:r>
      <w:r w:rsidR="00307A07" w:rsidRPr="0088141F">
        <w:rPr>
          <w:rFonts w:ascii="Times New Roman" w:hAnsi="Times New Roman" w:cs="Times New Roman"/>
          <w:sz w:val="24"/>
          <w:szCs w:val="24"/>
        </w:rPr>
        <w:t xml:space="preserve">utores </w:t>
      </w:r>
      <w:r w:rsidR="006A3131" w:rsidRPr="0088141F">
        <w:rPr>
          <w:rFonts w:ascii="Times New Roman" w:hAnsi="Times New Roman" w:cs="Times New Roman"/>
          <w:sz w:val="24"/>
          <w:szCs w:val="24"/>
        </w:rPr>
        <w:t xml:space="preserve">como </w:t>
      </w:r>
      <w:proofErr w:type="spellStart"/>
      <w:r w:rsidR="00F05C2F" w:rsidRPr="0088141F">
        <w:rPr>
          <w:rFonts w:ascii="Times New Roman" w:hAnsi="Times New Roman" w:cs="Times New Roman"/>
          <w:sz w:val="24"/>
          <w:szCs w:val="24"/>
        </w:rPr>
        <w:t>Buainain</w:t>
      </w:r>
      <w:proofErr w:type="spellEnd"/>
      <w:r w:rsidR="00F05C2F" w:rsidRPr="0088141F">
        <w:rPr>
          <w:rFonts w:ascii="Times New Roman" w:hAnsi="Times New Roman" w:cs="Times New Roman"/>
          <w:sz w:val="24"/>
          <w:szCs w:val="24"/>
        </w:rPr>
        <w:t xml:space="preserve"> </w:t>
      </w:r>
      <w:r w:rsidR="00F05C2F" w:rsidRPr="00A313F2">
        <w:rPr>
          <w:rFonts w:ascii="Times New Roman" w:hAnsi="Times New Roman" w:cs="Times New Roman"/>
          <w:i/>
          <w:iCs/>
          <w:sz w:val="24"/>
          <w:szCs w:val="24"/>
        </w:rPr>
        <w:t>et. al.</w:t>
      </w:r>
      <w:r w:rsidR="00F05C2F" w:rsidRPr="0088141F">
        <w:rPr>
          <w:rFonts w:ascii="Times New Roman" w:hAnsi="Times New Roman" w:cs="Times New Roman"/>
          <w:sz w:val="24"/>
          <w:szCs w:val="24"/>
        </w:rPr>
        <w:t xml:space="preserve"> (2013) consideram </w:t>
      </w:r>
      <w:r w:rsidR="00307A07" w:rsidRPr="0088141F">
        <w:rPr>
          <w:rFonts w:ascii="Times New Roman" w:hAnsi="Times New Roman" w:cs="Times New Roman"/>
          <w:sz w:val="24"/>
          <w:szCs w:val="24"/>
        </w:rPr>
        <w:t xml:space="preserve">a apropriação da terra como fonte de riqueza uma questão superada na atual fase de desenvolvimento capitalista, quando as </w:t>
      </w:r>
      <w:r w:rsidR="00F05C2F" w:rsidRPr="0088141F">
        <w:rPr>
          <w:rFonts w:ascii="Times New Roman" w:hAnsi="Times New Roman" w:cs="Times New Roman"/>
          <w:sz w:val="24"/>
          <w:szCs w:val="24"/>
        </w:rPr>
        <w:t>rendas agropecuárias passa</w:t>
      </w:r>
      <w:r w:rsidR="00307A07" w:rsidRPr="0088141F">
        <w:rPr>
          <w:rFonts w:ascii="Times New Roman" w:hAnsi="Times New Roman" w:cs="Times New Roman"/>
          <w:sz w:val="24"/>
          <w:szCs w:val="24"/>
        </w:rPr>
        <w:t>ra</w:t>
      </w:r>
      <w:r w:rsidR="00F05C2F" w:rsidRPr="0088141F">
        <w:rPr>
          <w:rFonts w:ascii="Times New Roman" w:hAnsi="Times New Roman" w:cs="Times New Roman"/>
          <w:sz w:val="24"/>
          <w:szCs w:val="24"/>
        </w:rPr>
        <w:t>m a depender, crescentemente, do</w:t>
      </w:r>
      <w:r w:rsidR="00307A07" w:rsidRPr="0088141F">
        <w:rPr>
          <w:rFonts w:ascii="Times New Roman" w:hAnsi="Times New Roman" w:cs="Times New Roman"/>
          <w:sz w:val="24"/>
          <w:szCs w:val="24"/>
        </w:rPr>
        <w:t>s</w:t>
      </w:r>
      <w:r w:rsidR="00F05C2F" w:rsidRPr="0088141F">
        <w:rPr>
          <w:rFonts w:ascii="Times New Roman" w:hAnsi="Times New Roman" w:cs="Times New Roman"/>
          <w:sz w:val="24"/>
          <w:szCs w:val="24"/>
        </w:rPr>
        <w:t xml:space="preserve"> investimentos em capital</w:t>
      </w:r>
      <w:r w:rsidR="00E41799" w:rsidRPr="0088141F">
        <w:rPr>
          <w:rFonts w:ascii="Times New Roman" w:hAnsi="Times New Roman" w:cs="Times New Roman"/>
          <w:sz w:val="24"/>
          <w:szCs w:val="24"/>
        </w:rPr>
        <w:t xml:space="preserve"> e tecnologia</w:t>
      </w:r>
      <w:r w:rsidRPr="0088141F">
        <w:rPr>
          <w:rFonts w:ascii="Times New Roman" w:hAnsi="Times New Roman" w:cs="Times New Roman"/>
          <w:sz w:val="24"/>
          <w:szCs w:val="24"/>
        </w:rPr>
        <w:t xml:space="preserve">, uma visão associada ao crescimento do agronegócio no país. </w:t>
      </w:r>
    </w:p>
    <w:p w14:paraId="54D6C1CE" w14:textId="3C330488" w:rsidR="00D030AE" w:rsidRPr="0088141F" w:rsidRDefault="006A3131" w:rsidP="00E41799">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Todavia</w:t>
      </w:r>
      <w:r w:rsidR="00E41799" w:rsidRPr="0088141F">
        <w:rPr>
          <w:rFonts w:ascii="Times New Roman" w:hAnsi="Times New Roman" w:cs="Times New Roman"/>
          <w:sz w:val="24"/>
          <w:szCs w:val="24"/>
        </w:rPr>
        <w:t xml:space="preserve">, é inegável que a </w:t>
      </w:r>
      <w:r w:rsidR="00D030AE" w:rsidRPr="0088141F">
        <w:rPr>
          <w:rFonts w:ascii="Times New Roman" w:hAnsi="Times New Roman" w:cs="Times New Roman"/>
          <w:sz w:val="24"/>
          <w:szCs w:val="24"/>
        </w:rPr>
        <w:t xml:space="preserve">questão da terra </w:t>
      </w:r>
      <w:r w:rsidR="00307A07" w:rsidRPr="0088141F">
        <w:rPr>
          <w:rFonts w:ascii="Times New Roman" w:hAnsi="Times New Roman" w:cs="Times New Roman"/>
          <w:sz w:val="24"/>
          <w:szCs w:val="24"/>
        </w:rPr>
        <w:t>represent</w:t>
      </w:r>
      <w:r w:rsidR="00D030AE" w:rsidRPr="0088141F">
        <w:rPr>
          <w:rFonts w:ascii="Times New Roman" w:hAnsi="Times New Roman" w:cs="Times New Roman"/>
          <w:sz w:val="24"/>
          <w:szCs w:val="24"/>
        </w:rPr>
        <w:t xml:space="preserve">ou </w:t>
      </w:r>
      <w:r w:rsidR="00307A07" w:rsidRPr="0088141F">
        <w:rPr>
          <w:rFonts w:ascii="Times New Roman" w:hAnsi="Times New Roman" w:cs="Times New Roman"/>
          <w:sz w:val="24"/>
          <w:szCs w:val="24"/>
        </w:rPr>
        <w:t>a base das relações de poder historicamente constituídas no Brasil, em espe</w:t>
      </w:r>
      <w:r w:rsidR="00B83278" w:rsidRPr="0088141F">
        <w:rPr>
          <w:rFonts w:ascii="Times New Roman" w:hAnsi="Times New Roman" w:cs="Times New Roman"/>
          <w:sz w:val="24"/>
          <w:szCs w:val="24"/>
        </w:rPr>
        <w:t>cial, no estado do Mato Grosso.</w:t>
      </w:r>
      <w:r w:rsidR="00D030AE" w:rsidRPr="0088141F">
        <w:rPr>
          <w:rFonts w:ascii="Times New Roman" w:hAnsi="Times New Roman" w:cs="Times New Roman"/>
          <w:sz w:val="24"/>
          <w:szCs w:val="24"/>
        </w:rPr>
        <w:t xml:space="preserve"> </w:t>
      </w:r>
      <w:r w:rsidR="00E41799" w:rsidRPr="0088141F">
        <w:rPr>
          <w:rFonts w:ascii="Times New Roman" w:hAnsi="Times New Roman" w:cs="Times New Roman"/>
          <w:sz w:val="24"/>
          <w:szCs w:val="24"/>
        </w:rPr>
        <w:t xml:space="preserve">Nesse sentido, </w:t>
      </w:r>
      <w:r w:rsidR="00D030AE" w:rsidRPr="0088141F">
        <w:rPr>
          <w:rFonts w:ascii="Times New Roman" w:hAnsi="Times New Roman" w:cs="Times New Roman"/>
          <w:sz w:val="24"/>
          <w:szCs w:val="24"/>
        </w:rPr>
        <w:t>Mattei (201</w:t>
      </w:r>
      <w:r w:rsidR="00227537" w:rsidRPr="0088141F">
        <w:rPr>
          <w:rFonts w:ascii="Times New Roman" w:hAnsi="Times New Roman" w:cs="Times New Roman"/>
          <w:sz w:val="24"/>
          <w:szCs w:val="24"/>
        </w:rPr>
        <w:t>4</w:t>
      </w:r>
      <w:r w:rsidR="00D030AE" w:rsidRPr="0088141F">
        <w:rPr>
          <w:rFonts w:ascii="Times New Roman" w:hAnsi="Times New Roman" w:cs="Times New Roman"/>
          <w:sz w:val="24"/>
          <w:szCs w:val="24"/>
        </w:rPr>
        <w:t xml:space="preserve">), </w:t>
      </w:r>
      <w:r w:rsidR="00E41799" w:rsidRPr="0088141F">
        <w:rPr>
          <w:rFonts w:ascii="Times New Roman" w:hAnsi="Times New Roman" w:cs="Times New Roman"/>
          <w:sz w:val="24"/>
          <w:szCs w:val="24"/>
        </w:rPr>
        <w:t>afirma</w:t>
      </w:r>
      <w:r w:rsidR="00D030AE" w:rsidRPr="0088141F">
        <w:rPr>
          <w:rFonts w:ascii="Times New Roman" w:hAnsi="Times New Roman" w:cs="Times New Roman"/>
          <w:sz w:val="24"/>
          <w:szCs w:val="24"/>
        </w:rPr>
        <w:t xml:space="preserve"> que negar o papel da terra “supõe a artificialização da produção agrícola”, que continua sendo a base da produção agrícola. </w:t>
      </w:r>
      <w:r w:rsidR="00E41799" w:rsidRPr="0088141F">
        <w:rPr>
          <w:rFonts w:ascii="Times New Roman" w:hAnsi="Times New Roman" w:cs="Times New Roman"/>
          <w:sz w:val="24"/>
          <w:szCs w:val="24"/>
        </w:rPr>
        <w:t xml:space="preserve">Ao mesmo tempo, que </w:t>
      </w:r>
      <w:proofErr w:type="spellStart"/>
      <w:r w:rsidR="00D030AE" w:rsidRPr="0088141F">
        <w:rPr>
          <w:rFonts w:ascii="Times New Roman" w:hAnsi="Times New Roman" w:cs="Times New Roman"/>
          <w:sz w:val="24"/>
          <w:szCs w:val="24"/>
        </w:rPr>
        <w:t>Sauer</w:t>
      </w:r>
      <w:proofErr w:type="spellEnd"/>
      <w:r w:rsidR="00D030AE" w:rsidRPr="0088141F">
        <w:rPr>
          <w:rFonts w:ascii="Times New Roman" w:hAnsi="Times New Roman" w:cs="Times New Roman"/>
          <w:sz w:val="24"/>
          <w:szCs w:val="24"/>
        </w:rPr>
        <w:t xml:space="preserve"> (</w:t>
      </w:r>
      <w:r w:rsidR="00BC24BE" w:rsidRPr="0088141F">
        <w:rPr>
          <w:rFonts w:ascii="Times New Roman" w:hAnsi="Times New Roman" w:cs="Times New Roman"/>
          <w:sz w:val="24"/>
          <w:szCs w:val="24"/>
        </w:rPr>
        <w:t>2016)</w:t>
      </w:r>
      <w:r w:rsidR="00E41799" w:rsidRPr="0088141F">
        <w:rPr>
          <w:rFonts w:ascii="Times New Roman" w:hAnsi="Times New Roman" w:cs="Times New Roman"/>
          <w:sz w:val="24"/>
          <w:szCs w:val="24"/>
        </w:rPr>
        <w:t xml:space="preserve">, </w:t>
      </w:r>
      <w:r w:rsidR="00BC24BE" w:rsidRPr="0088141F">
        <w:rPr>
          <w:rFonts w:ascii="Times New Roman" w:hAnsi="Times New Roman" w:cs="Times New Roman"/>
          <w:sz w:val="24"/>
          <w:szCs w:val="24"/>
        </w:rPr>
        <w:t>d</w:t>
      </w:r>
      <w:r w:rsidR="00D030AE" w:rsidRPr="0088141F">
        <w:rPr>
          <w:rFonts w:ascii="Times New Roman" w:hAnsi="Times New Roman" w:cs="Times New Roman"/>
          <w:sz w:val="24"/>
          <w:szCs w:val="24"/>
        </w:rPr>
        <w:t xml:space="preserve">estaca </w:t>
      </w:r>
      <w:r w:rsidR="00BC24BE" w:rsidRPr="0088141F">
        <w:rPr>
          <w:rFonts w:ascii="Times New Roman" w:hAnsi="Times New Roman" w:cs="Times New Roman"/>
          <w:sz w:val="24"/>
          <w:szCs w:val="24"/>
        </w:rPr>
        <w:t>a presença de novos atores nacionais e estrangeiros (</w:t>
      </w:r>
      <w:proofErr w:type="spellStart"/>
      <w:r w:rsidR="00BC24BE" w:rsidRPr="0088141F">
        <w:rPr>
          <w:rFonts w:ascii="Times New Roman" w:hAnsi="Times New Roman" w:cs="Times New Roman"/>
          <w:i/>
          <w:sz w:val="24"/>
          <w:szCs w:val="24"/>
        </w:rPr>
        <w:t>land</w:t>
      </w:r>
      <w:proofErr w:type="spellEnd"/>
      <w:r w:rsidR="00BC24BE" w:rsidRPr="0088141F">
        <w:rPr>
          <w:rFonts w:ascii="Times New Roman" w:hAnsi="Times New Roman" w:cs="Times New Roman"/>
          <w:i/>
          <w:sz w:val="24"/>
          <w:szCs w:val="24"/>
        </w:rPr>
        <w:t xml:space="preserve"> </w:t>
      </w:r>
      <w:proofErr w:type="spellStart"/>
      <w:r w:rsidR="0069129C" w:rsidRPr="0088141F">
        <w:rPr>
          <w:rFonts w:ascii="Times New Roman" w:hAnsi="Times New Roman" w:cs="Times New Roman"/>
          <w:i/>
          <w:sz w:val="24"/>
          <w:szCs w:val="24"/>
        </w:rPr>
        <w:t>grabbing</w:t>
      </w:r>
      <w:proofErr w:type="spellEnd"/>
      <w:r w:rsidR="00BC24BE" w:rsidRPr="0088141F">
        <w:rPr>
          <w:rFonts w:ascii="Times New Roman" w:hAnsi="Times New Roman" w:cs="Times New Roman"/>
          <w:sz w:val="24"/>
          <w:szCs w:val="24"/>
        </w:rPr>
        <w:t>)</w:t>
      </w:r>
      <w:r w:rsidR="00E41799" w:rsidRPr="0088141F">
        <w:rPr>
          <w:rFonts w:ascii="Times New Roman" w:hAnsi="Times New Roman" w:cs="Times New Roman"/>
          <w:sz w:val="24"/>
          <w:szCs w:val="24"/>
        </w:rPr>
        <w:t xml:space="preserve"> </w:t>
      </w:r>
      <w:r w:rsidR="00BC24BE" w:rsidRPr="0088141F">
        <w:rPr>
          <w:rFonts w:ascii="Times New Roman" w:hAnsi="Times New Roman" w:cs="Times New Roman"/>
          <w:sz w:val="24"/>
          <w:szCs w:val="24"/>
        </w:rPr>
        <w:t xml:space="preserve">atuando </w:t>
      </w:r>
      <w:r w:rsidR="0069129C" w:rsidRPr="0088141F">
        <w:rPr>
          <w:rFonts w:ascii="Times New Roman" w:hAnsi="Times New Roman" w:cs="Times New Roman"/>
          <w:sz w:val="24"/>
          <w:szCs w:val="24"/>
        </w:rPr>
        <w:t>através</w:t>
      </w:r>
      <w:r w:rsidR="00BC24BE" w:rsidRPr="0088141F">
        <w:rPr>
          <w:rFonts w:ascii="Times New Roman" w:hAnsi="Times New Roman" w:cs="Times New Roman"/>
          <w:sz w:val="24"/>
          <w:szCs w:val="24"/>
        </w:rPr>
        <w:t xml:space="preserve"> de alianças, </w:t>
      </w:r>
      <w:r w:rsidR="00BC24BE" w:rsidRPr="0088141F">
        <w:rPr>
          <w:rFonts w:ascii="Times New Roman" w:hAnsi="Times New Roman" w:cs="Times New Roman"/>
          <w:i/>
          <w:sz w:val="24"/>
          <w:szCs w:val="24"/>
        </w:rPr>
        <w:t>joint ventures</w:t>
      </w:r>
      <w:r w:rsidR="00BC24BE" w:rsidRPr="0088141F">
        <w:rPr>
          <w:rFonts w:ascii="Times New Roman" w:hAnsi="Times New Roman" w:cs="Times New Roman"/>
          <w:sz w:val="24"/>
          <w:szCs w:val="24"/>
        </w:rPr>
        <w:t>, acordos, investimentos conjuntos para a transferência de direito de uso, controle ou propriedade da terra</w:t>
      </w:r>
      <w:r w:rsidR="00E41799" w:rsidRPr="0088141F">
        <w:rPr>
          <w:rFonts w:ascii="Times New Roman" w:hAnsi="Times New Roman" w:cs="Times New Roman"/>
          <w:sz w:val="24"/>
          <w:szCs w:val="24"/>
        </w:rPr>
        <w:t>, que mantem a questão agrária como ativo de valorização de capital e uma questão ainda presente</w:t>
      </w:r>
      <w:r w:rsidR="00BC24BE" w:rsidRPr="0088141F">
        <w:rPr>
          <w:rFonts w:ascii="Times New Roman" w:hAnsi="Times New Roman" w:cs="Times New Roman"/>
          <w:sz w:val="24"/>
          <w:szCs w:val="24"/>
        </w:rPr>
        <w:t xml:space="preserve">. </w:t>
      </w:r>
    </w:p>
    <w:p w14:paraId="4DD5CD5B" w14:textId="77777777" w:rsidR="00977B76" w:rsidRPr="0088141F" w:rsidRDefault="0069129C"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A par dessa discussão, os dados do Censo Agropecuário demonstram o aumento da área média dos estabelecimentos </w:t>
      </w:r>
      <w:r w:rsidR="00E41799" w:rsidRPr="0088141F">
        <w:rPr>
          <w:rFonts w:ascii="Times New Roman" w:hAnsi="Times New Roman" w:cs="Times New Roman"/>
          <w:sz w:val="24"/>
          <w:szCs w:val="24"/>
        </w:rPr>
        <w:t>n</w:t>
      </w:r>
      <w:r w:rsidRPr="0088141F">
        <w:rPr>
          <w:rFonts w:ascii="Times New Roman" w:hAnsi="Times New Roman" w:cs="Times New Roman"/>
          <w:sz w:val="24"/>
          <w:szCs w:val="24"/>
        </w:rPr>
        <w:t xml:space="preserve">o </w:t>
      </w:r>
      <w:r w:rsidR="00E41799" w:rsidRPr="0088141F">
        <w:rPr>
          <w:rFonts w:ascii="Times New Roman" w:hAnsi="Times New Roman" w:cs="Times New Roman"/>
          <w:sz w:val="24"/>
          <w:szCs w:val="24"/>
        </w:rPr>
        <w:t xml:space="preserve">Brasil e em </w:t>
      </w:r>
      <w:r w:rsidRPr="0088141F">
        <w:rPr>
          <w:rFonts w:ascii="Times New Roman" w:hAnsi="Times New Roman" w:cs="Times New Roman"/>
          <w:sz w:val="24"/>
          <w:szCs w:val="24"/>
        </w:rPr>
        <w:t>Mato Grosso</w:t>
      </w:r>
      <w:r w:rsidR="00E41799" w:rsidRPr="0088141F">
        <w:rPr>
          <w:rFonts w:ascii="Times New Roman" w:hAnsi="Times New Roman" w:cs="Times New Roman"/>
          <w:sz w:val="24"/>
          <w:szCs w:val="24"/>
        </w:rPr>
        <w:t>, entre 2006 e 2017</w:t>
      </w:r>
      <w:r w:rsidRPr="0088141F">
        <w:rPr>
          <w:rFonts w:ascii="Times New Roman" w:hAnsi="Times New Roman" w:cs="Times New Roman"/>
          <w:sz w:val="24"/>
          <w:szCs w:val="24"/>
        </w:rPr>
        <w:t xml:space="preserve">. </w:t>
      </w:r>
      <w:r w:rsidR="00E41799" w:rsidRPr="0088141F">
        <w:rPr>
          <w:rFonts w:ascii="Times New Roman" w:hAnsi="Times New Roman" w:cs="Times New Roman"/>
          <w:sz w:val="24"/>
          <w:szCs w:val="24"/>
        </w:rPr>
        <w:t>A</w:t>
      </w:r>
      <w:r w:rsidR="00977B76" w:rsidRPr="0088141F">
        <w:rPr>
          <w:rFonts w:ascii="Times New Roman" w:hAnsi="Times New Roman" w:cs="Times New Roman"/>
          <w:sz w:val="24"/>
          <w:szCs w:val="24"/>
        </w:rPr>
        <w:t xml:space="preserve"> Tabela </w:t>
      </w:r>
      <w:r w:rsidR="00AF5703" w:rsidRPr="0088141F">
        <w:rPr>
          <w:rFonts w:ascii="Times New Roman" w:hAnsi="Times New Roman" w:cs="Times New Roman"/>
          <w:sz w:val="24"/>
          <w:szCs w:val="24"/>
        </w:rPr>
        <w:t>1</w:t>
      </w:r>
      <w:r w:rsidR="00977B76" w:rsidRPr="0088141F">
        <w:rPr>
          <w:rFonts w:ascii="Times New Roman" w:hAnsi="Times New Roman" w:cs="Times New Roman"/>
          <w:sz w:val="24"/>
          <w:szCs w:val="24"/>
        </w:rPr>
        <w:t xml:space="preserve"> apresenta a estrutura fundiária no Brasil, no Centro-Oeste e no Mato Grosso.</w:t>
      </w:r>
    </w:p>
    <w:p w14:paraId="3A96EFC3" w14:textId="77777777" w:rsidR="004316DE" w:rsidRPr="004316DE" w:rsidRDefault="004316DE" w:rsidP="004316DE">
      <w:pPr>
        <w:spacing w:after="0" w:line="240" w:lineRule="auto"/>
        <w:ind w:firstLine="708"/>
        <w:jc w:val="both"/>
        <w:rPr>
          <w:rFonts w:ascii="Times New Roman" w:hAnsi="Times New Roman" w:cs="Times New Roman"/>
        </w:rPr>
      </w:pPr>
    </w:p>
    <w:p w14:paraId="4E0520D7" w14:textId="77777777" w:rsidR="00977B76" w:rsidRPr="0088141F" w:rsidRDefault="00977B76" w:rsidP="00AF5703">
      <w:pPr>
        <w:spacing w:after="0" w:line="240" w:lineRule="auto"/>
        <w:jc w:val="both"/>
        <w:rPr>
          <w:rFonts w:ascii="Times New Roman" w:hAnsi="Times New Roman" w:cs="Times New Roman"/>
          <w:b/>
          <w:sz w:val="24"/>
          <w:szCs w:val="24"/>
        </w:rPr>
      </w:pPr>
      <w:bookmarkStart w:id="9" w:name="_Toc535263372"/>
      <w:bookmarkStart w:id="10" w:name="_Toc2204406"/>
      <w:r w:rsidRPr="0088141F">
        <w:rPr>
          <w:rFonts w:ascii="Times New Roman" w:hAnsi="Times New Roman" w:cs="Times New Roman"/>
          <w:b/>
          <w:sz w:val="24"/>
          <w:szCs w:val="24"/>
        </w:rPr>
        <w:t>Tabela 1: Número, Área Total e Área Média dos Estabelecimentos Agropecuários Segundo Grupos de Área Total, no Censo Agropecuário 2006 e 2017</w:t>
      </w:r>
      <w:bookmarkEnd w:id="9"/>
      <w:bookmarkEnd w:id="10"/>
    </w:p>
    <w:tbl>
      <w:tblPr>
        <w:tblW w:w="8944" w:type="dxa"/>
        <w:tblInd w:w="70" w:type="dxa"/>
        <w:tblCellMar>
          <w:left w:w="70" w:type="dxa"/>
          <w:right w:w="70" w:type="dxa"/>
        </w:tblCellMar>
        <w:tblLook w:val="04A0" w:firstRow="1" w:lastRow="0" w:firstColumn="1" w:lastColumn="0" w:noHBand="0" w:noVBand="1"/>
      </w:tblPr>
      <w:tblGrid>
        <w:gridCol w:w="2268"/>
        <w:gridCol w:w="1276"/>
        <w:gridCol w:w="940"/>
        <w:gridCol w:w="1328"/>
        <w:gridCol w:w="1140"/>
        <w:gridCol w:w="1128"/>
        <w:gridCol w:w="864"/>
      </w:tblGrid>
      <w:tr w:rsidR="00977B76" w:rsidRPr="0088141F" w14:paraId="397CCF8D" w14:textId="77777777" w:rsidTr="000B24F3">
        <w:trPr>
          <w:trHeight w:val="60"/>
        </w:trPr>
        <w:tc>
          <w:tcPr>
            <w:tcW w:w="2268" w:type="dxa"/>
            <w:vMerge w:val="restart"/>
            <w:tcBorders>
              <w:top w:val="single" w:sz="4" w:space="0" w:color="auto"/>
              <w:left w:val="nil"/>
              <w:bottom w:val="single" w:sz="4" w:space="0" w:color="auto"/>
              <w:right w:val="nil"/>
            </w:tcBorders>
            <w:shd w:val="clear" w:color="auto" w:fill="auto"/>
            <w:noWrap/>
            <w:vAlign w:val="center"/>
          </w:tcPr>
          <w:p w14:paraId="35C9C979"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sz w:val="20"/>
                <w:szCs w:val="20"/>
              </w:rPr>
              <w:t>Grupo de Área</w:t>
            </w:r>
          </w:p>
        </w:tc>
        <w:tc>
          <w:tcPr>
            <w:tcW w:w="6676" w:type="dxa"/>
            <w:gridSpan w:val="6"/>
            <w:tcBorders>
              <w:top w:val="single" w:sz="4" w:space="0" w:color="auto"/>
              <w:left w:val="nil"/>
              <w:bottom w:val="single" w:sz="8" w:space="0" w:color="auto"/>
              <w:right w:val="nil"/>
            </w:tcBorders>
            <w:shd w:val="clear" w:color="auto" w:fill="auto"/>
            <w:noWrap/>
            <w:vAlign w:val="center"/>
          </w:tcPr>
          <w:p w14:paraId="1942F9FB"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sz w:val="20"/>
                <w:szCs w:val="20"/>
              </w:rPr>
              <w:t>BRASIL</w:t>
            </w:r>
          </w:p>
        </w:tc>
      </w:tr>
      <w:tr w:rsidR="00977B76" w:rsidRPr="0088141F" w14:paraId="4D9F8E30" w14:textId="77777777" w:rsidTr="000B24F3">
        <w:trPr>
          <w:trHeight w:val="60"/>
        </w:trPr>
        <w:tc>
          <w:tcPr>
            <w:tcW w:w="2268" w:type="dxa"/>
            <w:vMerge/>
            <w:tcBorders>
              <w:left w:val="nil"/>
              <w:bottom w:val="single" w:sz="4" w:space="0" w:color="auto"/>
              <w:right w:val="nil"/>
            </w:tcBorders>
            <w:shd w:val="clear" w:color="auto" w:fill="auto"/>
            <w:noWrap/>
            <w:vAlign w:val="center"/>
          </w:tcPr>
          <w:p w14:paraId="04332500" w14:textId="77777777" w:rsidR="00977B76" w:rsidRPr="0088141F" w:rsidRDefault="00977B76" w:rsidP="00AF5703">
            <w:pPr>
              <w:spacing w:after="0" w:line="240" w:lineRule="auto"/>
              <w:jc w:val="both"/>
              <w:rPr>
                <w:rFonts w:ascii="Times New Roman" w:eastAsia="Times New Roman" w:hAnsi="Times New Roman" w:cs="Times New Roman"/>
                <w:b/>
                <w:bCs/>
                <w:color w:val="000000"/>
                <w:sz w:val="20"/>
                <w:szCs w:val="20"/>
              </w:rPr>
            </w:pPr>
          </w:p>
        </w:tc>
        <w:tc>
          <w:tcPr>
            <w:tcW w:w="2216" w:type="dxa"/>
            <w:gridSpan w:val="2"/>
            <w:tcBorders>
              <w:top w:val="nil"/>
              <w:left w:val="nil"/>
              <w:bottom w:val="single" w:sz="4" w:space="0" w:color="auto"/>
              <w:right w:val="single" w:sz="4" w:space="0" w:color="auto"/>
            </w:tcBorders>
            <w:shd w:val="clear" w:color="auto" w:fill="auto"/>
            <w:noWrap/>
            <w:vAlign w:val="center"/>
          </w:tcPr>
          <w:p w14:paraId="391F1D22"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Nº. de Estabelecimentos</w:t>
            </w:r>
          </w:p>
        </w:tc>
        <w:tc>
          <w:tcPr>
            <w:tcW w:w="2468" w:type="dxa"/>
            <w:gridSpan w:val="2"/>
            <w:tcBorders>
              <w:top w:val="nil"/>
              <w:left w:val="single" w:sz="4" w:space="0" w:color="auto"/>
              <w:bottom w:val="single" w:sz="4" w:space="0" w:color="auto"/>
              <w:right w:val="single" w:sz="4" w:space="0" w:color="auto"/>
            </w:tcBorders>
            <w:shd w:val="clear" w:color="auto" w:fill="auto"/>
            <w:noWrap/>
            <w:vAlign w:val="center"/>
          </w:tcPr>
          <w:p w14:paraId="79AD7AAA"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Área dos Estabelecimentos</w:t>
            </w:r>
          </w:p>
        </w:tc>
        <w:tc>
          <w:tcPr>
            <w:tcW w:w="1992" w:type="dxa"/>
            <w:gridSpan w:val="2"/>
            <w:tcBorders>
              <w:top w:val="nil"/>
              <w:left w:val="single" w:sz="4" w:space="0" w:color="auto"/>
              <w:bottom w:val="single" w:sz="4" w:space="0" w:color="auto"/>
              <w:right w:val="nil"/>
            </w:tcBorders>
            <w:shd w:val="clear" w:color="auto" w:fill="auto"/>
            <w:noWrap/>
            <w:vAlign w:val="bottom"/>
          </w:tcPr>
          <w:p w14:paraId="0F47B962"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Área Média</w:t>
            </w:r>
          </w:p>
        </w:tc>
      </w:tr>
      <w:tr w:rsidR="00977B76" w:rsidRPr="0088141F" w14:paraId="6B33CE69" w14:textId="77777777" w:rsidTr="000B24F3">
        <w:trPr>
          <w:trHeight w:val="60"/>
        </w:trPr>
        <w:tc>
          <w:tcPr>
            <w:tcW w:w="2268" w:type="dxa"/>
            <w:vMerge/>
            <w:tcBorders>
              <w:left w:val="nil"/>
              <w:bottom w:val="single" w:sz="4" w:space="0" w:color="auto"/>
              <w:right w:val="nil"/>
            </w:tcBorders>
            <w:shd w:val="clear" w:color="auto" w:fill="auto"/>
            <w:noWrap/>
            <w:vAlign w:val="center"/>
          </w:tcPr>
          <w:p w14:paraId="7D1E9A01" w14:textId="77777777" w:rsidR="00977B76" w:rsidRPr="0088141F" w:rsidRDefault="00977B76" w:rsidP="00AF5703">
            <w:pPr>
              <w:spacing w:after="0" w:line="240" w:lineRule="auto"/>
              <w:jc w:val="both"/>
              <w:rPr>
                <w:rFonts w:ascii="Times New Roman" w:eastAsia="Times New Roman" w:hAnsi="Times New Roman" w:cs="Times New Roman"/>
                <w:b/>
                <w:bCs/>
                <w:color w:val="000000"/>
                <w:sz w:val="20"/>
                <w:szCs w:val="20"/>
              </w:rPr>
            </w:pPr>
          </w:p>
        </w:tc>
        <w:tc>
          <w:tcPr>
            <w:tcW w:w="1276" w:type="dxa"/>
            <w:tcBorders>
              <w:top w:val="single" w:sz="4" w:space="0" w:color="auto"/>
              <w:left w:val="nil"/>
              <w:bottom w:val="single" w:sz="4" w:space="0" w:color="auto"/>
              <w:right w:val="nil"/>
            </w:tcBorders>
            <w:shd w:val="clear" w:color="auto" w:fill="auto"/>
            <w:noWrap/>
            <w:vAlign w:val="center"/>
          </w:tcPr>
          <w:p w14:paraId="1A071F03"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2006</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E3D794E"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2017</w:t>
            </w:r>
          </w:p>
        </w:tc>
        <w:tc>
          <w:tcPr>
            <w:tcW w:w="1328" w:type="dxa"/>
            <w:tcBorders>
              <w:top w:val="single" w:sz="4" w:space="0" w:color="auto"/>
              <w:left w:val="single" w:sz="4" w:space="0" w:color="auto"/>
              <w:bottom w:val="single" w:sz="4" w:space="0" w:color="auto"/>
              <w:right w:val="nil"/>
            </w:tcBorders>
            <w:shd w:val="clear" w:color="auto" w:fill="auto"/>
            <w:noWrap/>
            <w:vAlign w:val="center"/>
          </w:tcPr>
          <w:p w14:paraId="37635631"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2006</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78EE59C2"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2017</w:t>
            </w:r>
          </w:p>
        </w:tc>
        <w:tc>
          <w:tcPr>
            <w:tcW w:w="1128" w:type="dxa"/>
            <w:tcBorders>
              <w:top w:val="single" w:sz="4" w:space="0" w:color="auto"/>
              <w:left w:val="single" w:sz="4" w:space="0" w:color="auto"/>
              <w:bottom w:val="single" w:sz="4" w:space="0" w:color="auto"/>
              <w:right w:val="nil"/>
            </w:tcBorders>
            <w:shd w:val="clear" w:color="auto" w:fill="auto"/>
            <w:noWrap/>
            <w:vAlign w:val="center"/>
          </w:tcPr>
          <w:p w14:paraId="6AF65E03"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2006</w:t>
            </w:r>
          </w:p>
        </w:tc>
        <w:tc>
          <w:tcPr>
            <w:tcW w:w="864" w:type="dxa"/>
            <w:tcBorders>
              <w:top w:val="single" w:sz="4" w:space="0" w:color="auto"/>
              <w:left w:val="nil"/>
              <w:bottom w:val="single" w:sz="4" w:space="0" w:color="auto"/>
              <w:right w:val="nil"/>
            </w:tcBorders>
            <w:shd w:val="clear" w:color="auto" w:fill="auto"/>
            <w:noWrap/>
            <w:vAlign w:val="center"/>
          </w:tcPr>
          <w:p w14:paraId="088180B8"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2017</w:t>
            </w:r>
          </w:p>
        </w:tc>
      </w:tr>
      <w:tr w:rsidR="00977B76" w:rsidRPr="0088141F" w14:paraId="26CC2079" w14:textId="77777777" w:rsidTr="000B24F3">
        <w:trPr>
          <w:trHeight w:val="60"/>
        </w:trPr>
        <w:tc>
          <w:tcPr>
            <w:tcW w:w="2268" w:type="dxa"/>
            <w:tcBorders>
              <w:top w:val="single" w:sz="4" w:space="0" w:color="auto"/>
              <w:left w:val="nil"/>
              <w:bottom w:val="nil"/>
              <w:right w:val="nil"/>
            </w:tcBorders>
            <w:shd w:val="clear" w:color="auto" w:fill="auto"/>
            <w:noWrap/>
            <w:vAlign w:val="center"/>
            <w:hideMark/>
          </w:tcPr>
          <w:p w14:paraId="3D827B7F" w14:textId="77777777" w:rsidR="00977B76" w:rsidRPr="0088141F" w:rsidRDefault="00977B76" w:rsidP="00AF5703">
            <w:pPr>
              <w:spacing w:after="0" w:line="240" w:lineRule="auto"/>
              <w:jc w:val="both"/>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Total</w:t>
            </w:r>
          </w:p>
        </w:tc>
        <w:tc>
          <w:tcPr>
            <w:tcW w:w="1276" w:type="dxa"/>
            <w:tcBorders>
              <w:top w:val="single" w:sz="4" w:space="0" w:color="auto"/>
              <w:left w:val="nil"/>
              <w:bottom w:val="nil"/>
              <w:right w:val="nil"/>
            </w:tcBorders>
            <w:shd w:val="clear" w:color="auto" w:fill="auto"/>
            <w:noWrap/>
            <w:vAlign w:val="center"/>
            <w:hideMark/>
          </w:tcPr>
          <w:p w14:paraId="51C87999"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5.175.636</w:t>
            </w:r>
          </w:p>
        </w:tc>
        <w:tc>
          <w:tcPr>
            <w:tcW w:w="940" w:type="dxa"/>
            <w:tcBorders>
              <w:top w:val="single" w:sz="4" w:space="0" w:color="auto"/>
              <w:left w:val="nil"/>
              <w:bottom w:val="nil"/>
              <w:right w:val="single" w:sz="4" w:space="0" w:color="auto"/>
            </w:tcBorders>
            <w:shd w:val="clear" w:color="auto" w:fill="auto"/>
            <w:noWrap/>
            <w:vAlign w:val="center"/>
            <w:hideMark/>
          </w:tcPr>
          <w:p w14:paraId="12EDC0D8"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5.071.365</w:t>
            </w:r>
          </w:p>
        </w:tc>
        <w:tc>
          <w:tcPr>
            <w:tcW w:w="1328" w:type="dxa"/>
            <w:tcBorders>
              <w:top w:val="single" w:sz="4" w:space="0" w:color="auto"/>
              <w:left w:val="single" w:sz="4" w:space="0" w:color="auto"/>
              <w:bottom w:val="nil"/>
              <w:right w:val="nil"/>
            </w:tcBorders>
            <w:shd w:val="clear" w:color="auto" w:fill="auto"/>
            <w:noWrap/>
            <w:vAlign w:val="center"/>
            <w:hideMark/>
          </w:tcPr>
          <w:p w14:paraId="460BE547"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333.680.037</w:t>
            </w:r>
          </w:p>
        </w:tc>
        <w:tc>
          <w:tcPr>
            <w:tcW w:w="1140" w:type="dxa"/>
            <w:tcBorders>
              <w:top w:val="single" w:sz="4" w:space="0" w:color="auto"/>
              <w:left w:val="nil"/>
              <w:bottom w:val="nil"/>
              <w:right w:val="single" w:sz="4" w:space="0" w:color="auto"/>
            </w:tcBorders>
            <w:shd w:val="clear" w:color="auto" w:fill="auto"/>
            <w:noWrap/>
            <w:vAlign w:val="center"/>
            <w:hideMark/>
          </w:tcPr>
          <w:p w14:paraId="5167A138" w14:textId="77777777" w:rsidR="00977B76" w:rsidRPr="0088141F" w:rsidRDefault="00977B76" w:rsidP="00E94315">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35</w:t>
            </w:r>
            <w:r w:rsidR="00E94315" w:rsidRPr="0088141F">
              <w:rPr>
                <w:rFonts w:ascii="Times New Roman" w:eastAsia="Times New Roman" w:hAnsi="Times New Roman" w:cs="Times New Roman"/>
                <w:b/>
                <w:bCs/>
                <w:color w:val="000000"/>
                <w:sz w:val="20"/>
                <w:szCs w:val="20"/>
              </w:rPr>
              <w:t>1</w:t>
            </w:r>
            <w:r w:rsidRPr="0088141F">
              <w:rPr>
                <w:rFonts w:ascii="Times New Roman" w:eastAsia="Times New Roman" w:hAnsi="Times New Roman" w:cs="Times New Roman"/>
                <w:b/>
                <w:bCs/>
                <w:color w:val="000000"/>
                <w:sz w:val="20"/>
                <w:szCs w:val="20"/>
              </w:rPr>
              <w:t>.</w:t>
            </w:r>
            <w:r w:rsidR="00E94315" w:rsidRPr="0088141F">
              <w:rPr>
                <w:rFonts w:ascii="Times New Roman" w:eastAsia="Times New Roman" w:hAnsi="Times New Roman" w:cs="Times New Roman"/>
                <w:b/>
                <w:bCs/>
                <w:color w:val="000000"/>
                <w:sz w:val="20"/>
                <w:szCs w:val="20"/>
              </w:rPr>
              <w:t>289</w:t>
            </w:r>
            <w:r w:rsidRPr="0088141F">
              <w:rPr>
                <w:rFonts w:ascii="Times New Roman" w:eastAsia="Times New Roman" w:hAnsi="Times New Roman" w:cs="Times New Roman"/>
                <w:b/>
                <w:bCs/>
                <w:color w:val="000000"/>
                <w:sz w:val="20"/>
                <w:szCs w:val="20"/>
              </w:rPr>
              <w:t>.</w:t>
            </w:r>
            <w:r w:rsidR="00E94315" w:rsidRPr="0088141F">
              <w:rPr>
                <w:rFonts w:ascii="Times New Roman" w:eastAsia="Times New Roman" w:hAnsi="Times New Roman" w:cs="Times New Roman"/>
                <w:b/>
                <w:bCs/>
                <w:color w:val="000000"/>
                <w:sz w:val="20"/>
                <w:szCs w:val="20"/>
              </w:rPr>
              <w:t>816</w:t>
            </w:r>
          </w:p>
        </w:tc>
        <w:tc>
          <w:tcPr>
            <w:tcW w:w="1128" w:type="dxa"/>
            <w:tcBorders>
              <w:top w:val="single" w:sz="4" w:space="0" w:color="auto"/>
              <w:left w:val="single" w:sz="4" w:space="0" w:color="auto"/>
              <w:bottom w:val="nil"/>
              <w:right w:val="nil"/>
            </w:tcBorders>
            <w:shd w:val="clear" w:color="auto" w:fill="auto"/>
            <w:noWrap/>
            <w:vAlign w:val="bottom"/>
            <w:hideMark/>
          </w:tcPr>
          <w:p w14:paraId="0FA0C5AD" w14:textId="77777777" w:rsidR="00977B76" w:rsidRPr="0088141F" w:rsidRDefault="00977B76" w:rsidP="00AF5703">
            <w:pPr>
              <w:spacing w:after="0" w:line="240" w:lineRule="auto"/>
              <w:jc w:val="center"/>
              <w:rPr>
                <w:rFonts w:ascii="Times New Roman" w:eastAsia="Times New Roman" w:hAnsi="Times New Roman" w:cs="Times New Roman"/>
                <w:b/>
                <w:color w:val="000000"/>
                <w:sz w:val="20"/>
                <w:szCs w:val="20"/>
              </w:rPr>
            </w:pPr>
            <w:r w:rsidRPr="0088141F">
              <w:rPr>
                <w:rFonts w:ascii="Times New Roman" w:eastAsia="Times New Roman" w:hAnsi="Times New Roman" w:cs="Times New Roman"/>
                <w:b/>
                <w:color w:val="000000"/>
                <w:sz w:val="20"/>
                <w:szCs w:val="20"/>
              </w:rPr>
              <w:t>64,5</w:t>
            </w:r>
          </w:p>
        </w:tc>
        <w:tc>
          <w:tcPr>
            <w:tcW w:w="864" w:type="dxa"/>
            <w:tcBorders>
              <w:top w:val="single" w:sz="4" w:space="0" w:color="auto"/>
              <w:left w:val="nil"/>
              <w:bottom w:val="nil"/>
              <w:right w:val="nil"/>
            </w:tcBorders>
            <w:shd w:val="clear" w:color="auto" w:fill="auto"/>
            <w:noWrap/>
            <w:vAlign w:val="bottom"/>
            <w:hideMark/>
          </w:tcPr>
          <w:p w14:paraId="25CC39A4" w14:textId="77777777" w:rsidR="00977B76" w:rsidRPr="0088141F" w:rsidRDefault="00977B76" w:rsidP="00E94315">
            <w:pPr>
              <w:spacing w:after="0" w:line="240" w:lineRule="auto"/>
              <w:jc w:val="center"/>
              <w:rPr>
                <w:rFonts w:ascii="Times New Roman" w:eastAsia="Times New Roman" w:hAnsi="Times New Roman" w:cs="Times New Roman"/>
                <w:b/>
                <w:color w:val="000000"/>
                <w:sz w:val="20"/>
                <w:szCs w:val="20"/>
              </w:rPr>
            </w:pPr>
            <w:r w:rsidRPr="0088141F">
              <w:rPr>
                <w:rFonts w:ascii="Times New Roman" w:eastAsia="Times New Roman" w:hAnsi="Times New Roman" w:cs="Times New Roman"/>
                <w:b/>
                <w:color w:val="000000"/>
                <w:sz w:val="20"/>
                <w:szCs w:val="20"/>
              </w:rPr>
              <w:t>69,</w:t>
            </w:r>
            <w:r w:rsidR="00E94315" w:rsidRPr="0088141F">
              <w:rPr>
                <w:rFonts w:ascii="Times New Roman" w:eastAsia="Times New Roman" w:hAnsi="Times New Roman" w:cs="Times New Roman"/>
                <w:b/>
                <w:color w:val="000000"/>
                <w:sz w:val="20"/>
                <w:szCs w:val="20"/>
              </w:rPr>
              <w:t>3</w:t>
            </w:r>
          </w:p>
        </w:tc>
      </w:tr>
      <w:tr w:rsidR="00977B76" w:rsidRPr="0088141F" w14:paraId="5B6899FF" w14:textId="77777777" w:rsidTr="000B24F3">
        <w:trPr>
          <w:trHeight w:val="80"/>
        </w:trPr>
        <w:tc>
          <w:tcPr>
            <w:tcW w:w="2268" w:type="dxa"/>
            <w:tcBorders>
              <w:top w:val="nil"/>
              <w:left w:val="nil"/>
              <w:bottom w:val="nil"/>
              <w:right w:val="nil"/>
            </w:tcBorders>
            <w:shd w:val="clear" w:color="auto" w:fill="auto"/>
            <w:noWrap/>
            <w:vAlign w:val="center"/>
            <w:hideMark/>
          </w:tcPr>
          <w:p w14:paraId="000677E9"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Menos de 10 ha</w:t>
            </w:r>
          </w:p>
        </w:tc>
        <w:tc>
          <w:tcPr>
            <w:tcW w:w="1276" w:type="dxa"/>
            <w:tcBorders>
              <w:top w:val="nil"/>
              <w:left w:val="nil"/>
              <w:bottom w:val="nil"/>
              <w:right w:val="nil"/>
            </w:tcBorders>
            <w:shd w:val="clear" w:color="auto" w:fill="auto"/>
            <w:noWrap/>
            <w:vAlign w:val="center"/>
            <w:hideMark/>
          </w:tcPr>
          <w:p w14:paraId="1332D0BB"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2.477.151</w:t>
            </w:r>
          </w:p>
        </w:tc>
        <w:tc>
          <w:tcPr>
            <w:tcW w:w="940" w:type="dxa"/>
            <w:tcBorders>
              <w:top w:val="nil"/>
              <w:left w:val="nil"/>
              <w:bottom w:val="nil"/>
              <w:right w:val="single" w:sz="4" w:space="0" w:color="auto"/>
            </w:tcBorders>
            <w:shd w:val="clear" w:color="auto" w:fill="auto"/>
            <w:noWrap/>
            <w:vAlign w:val="center"/>
            <w:hideMark/>
          </w:tcPr>
          <w:p w14:paraId="1F7E5A6C" w14:textId="77777777" w:rsidR="00977B76" w:rsidRPr="0088141F" w:rsidRDefault="00977B76" w:rsidP="00C21FFB">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2.543.</w:t>
            </w:r>
            <w:r w:rsidR="00C21FFB" w:rsidRPr="0088141F">
              <w:rPr>
                <w:rFonts w:ascii="Times New Roman" w:eastAsia="Times New Roman" w:hAnsi="Times New Roman" w:cs="Times New Roman"/>
                <w:color w:val="000000"/>
                <w:sz w:val="20"/>
                <w:szCs w:val="20"/>
              </w:rPr>
              <w:t>681</w:t>
            </w:r>
          </w:p>
        </w:tc>
        <w:tc>
          <w:tcPr>
            <w:tcW w:w="1328" w:type="dxa"/>
            <w:tcBorders>
              <w:top w:val="nil"/>
              <w:left w:val="single" w:sz="4" w:space="0" w:color="auto"/>
              <w:bottom w:val="nil"/>
              <w:right w:val="nil"/>
            </w:tcBorders>
            <w:shd w:val="clear" w:color="auto" w:fill="auto"/>
            <w:noWrap/>
            <w:vAlign w:val="center"/>
            <w:hideMark/>
          </w:tcPr>
          <w:p w14:paraId="4D5FA31D"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7.798.777</w:t>
            </w:r>
          </w:p>
        </w:tc>
        <w:tc>
          <w:tcPr>
            <w:tcW w:w="1140" w:type="dxa"/>
            <w:tcBorders>
              <w:top w:val="nil"/>
              <w:left w:val="nil"/>
              <w:bottom w:val="nil"/>
              <w:right w:val="single" w:sz="4" w:space="0" w:color="auto"/>
            </w:tcBorders>
            <w:shd w:val="clear" w:color="auto" w:fill="auto"/>
            <w:noWrap/>
            <w:vAlign w:val="center"/>
            <w:hideMark/>
          </w:tcPr>
          <w:p w14:paraId="69017AE8"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w:t>
            </w:r>
            <w:r w:rsidR="00E94315" w:rsidRPr="0088141F">
              <w:rPr>
                <w:rFonts w:ascii="Times New Roman" w:eastAsia="Times New Roman" w:hAnsi="Times New Roman" w:cs="Times New Roman"/>
                <w:color w:val="000000"/>
                <w:sz w:val="20"/>
                <w:szCs w:val="20"/>
              </w:rPr>
              <w:t>993</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969</w:t>
            </w:r>
          </w:p>
        </w:tc>
        <w:tc>
          <w:tcPr>
            <w:tcW w:w="1128" w:type="dxa"/>
            <w:tcBorders>
              <w:top w:val="nil"/>
              <w:left w:val="single" w:sz="4" w:space="0" w:color="auto"/>
              <w:bottom w:val="nil"/>
              <w:right w:val="nil"/>
            </w:tcBorders>
            <w:shd w:val="clear" w:color="auto" w:fill="auto"/>
            <w:noWrap/>
            <w:vAlign w:val="bottom"/>
            <w:hideMark/>
          </w:tcPr>
          <w:p w14:paraId="78D4FB48"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3,1</w:t>
            </w:r>
          </w:p>
        </w:tc>
        <w:tc>
          <w:tcPr>
            <w:tcW w:w="864" w:type="dxa"/>
            <w:tcBorders>
              <w:top w:val="nil"/>
              <w:left w:val="nil"/>
              <w:bottom w:val="nil"/>
              <w:right w:val="nil"/>
            </w:tcBorders>
            <w:shd w:val="clear" w:color="auto" w:fill="auto"/>
            <w:noWrap/>
            <w:vAlign w:val="bottom"/>
            <w:hideMark/>
          </w:tcPr>
          <w:p w14:paraId="1DB8F3AB"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3,1</w:t>
            </w:r>
          </w:p>
        </w:tc>
      </w:tr>
      <w:tr w:rsidR="00977B76" w:rsidRPr="0088141F" w14:paraId="3091C836" w14:textId="77777777" w:rsidTr="000B24F3">
        <w:trPr>
          <w:trHeight w:val="80"/>
        </w:trPr>
        <w:tc>
          <w:tcPr>
            <w:tcW w:w="2268" w:type="dxa"/>
            <w:tcBorders>
              <w:top w:val="nil"/>
              <w:left w:val="nil"/>
              <w:bottom w:val="nil"/>
              <w:right w:val="nil"/>
            </w:tcBorders>
            <w:shd w:val="clear" w:color="auto" w:fill="auto"/>
            <w:noWrap/>
            <w:vAlign w:val="center"/>
            <w:hideMark/>
          </w:tcPr>
          <w:p w14:paraId="56E8B24A"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10 a menos de 100 ha</w:t>
            </w:r>
          </w:p>
        </w:tc>
        <w:tc>
          <w:tcPr>
            <w:tcW w:w="1276" w:type="dxa"/>
            <w:tcBorders>
              <w:top w:val="nil"/>
              <w:left w:val="nil"/>
              <w:bottom w:val="nil"/>
              <w:right w:val="nil"/>
            </w:tcBorders>
            <w:shd w:val="clear" w:color="auto" w:fill="auto"/>
            <w:noWrap/>
            <w:vAlign w:val="center"/>
            <w:hideMark/>
          </w:tcPr>
          <w:p w14:paraId="380C94E1"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1.971.600</w:t>
            </w:r>
          </w:p>
        </w:tc>
        <w:tc>
          <w:tcPr>
            <w:tcW w:w="940" w:type="dxa"/>
            <w:tcBorders>
              <w:top w:val="nil"/>
              <w:left w:val="nil"/>
              <w:bottom w:val="nil"/>
              <w:right w:val="single" w:sz="4" w:space="0" w:color="auto"/>
            </w:tcBorders>
            <w:shd w:val="clear" w:color="auto" w:fill="auto"/>
            <w:noWrap/>
            <w:vAlign w:val="center"/>
            <w:hideMark/>
          </w:tcPr>
          <w:p w14:paraId="55B846F7" w14:textId="77777777" w:rsidR="00977B76" w:rsidRPr="0088141F" w:rsidRDefault="00977B76" w:rsidP="00C21FFB">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1.9</w:t>
            </w:r>
            <w:r w:rsidR="00C21FFB" w:rsidRPr="0088141F">
              <w:rPr>
                <w:rFonts w:ascii="Times New Roman" w:eastAsia="Times New Roman" w:hAnsi="Times New Roman" w:cs="Times New Roman"/>
                <w:color w:val="000000"/>
                <w:sz w:val="20"/>
                <w:szCs w:val="20"/>
              </w:rPr>
              <w:t>80</w:t>
            </w:r>
            <w:r w:rsidRPr="0088141F">
              <w:rPr>
                <w:rFonts w:ascii="Times New Roman" w:eastAsia="Times New Roman" w:hAnsi="Times New Roman" w:cs="Times New Roman"/>
                <w:color w:val="000000"/>
                <w:sz w:val="20"/>
                <w:szCs w:val="20"/>
              </w:rPr>
              <w:t>.</w:t>
            </w:r>
            <w:r w:rsidR="00C21FFB" w:rsidRPr="0088141F">
              <w:rPr>
                <w:rFonts w:ascii="Times New Roman" w:eastAsia="Times New Roman" w:hAnsi="Times New Roman" w:cs="Times New Roman"/>
                <w:color w:val="000000"/>
                <w:sz w:val="20"/>
                <w:szCs w:val="20"/>
              </w:rPr>
              <w:t>684</w:t>
            </w:r>
          </w:p>
        </w:tc>
        <w:tc>
          <w:tcPr>
            <w:tcW w:w="1328" w:type="dxa"/>
            <w:tcBorders>
              <w:top w:val="nil"/>
              <w:left w:val="single" w:sz="4" w:space="0" w:color="auto"/>
              <w:bottom w:val="nil"/>
              <w:right w:val="nil"/>
            </w:tcBorders>
            <w:shd w:val="clear" w:color="auto" w:fill="auto"/>
            <w:noWrap/>
            <w:vAlign w:val="center"/>
            <w:hideMark/>
          </w:tcPr>
          <w:p w14:paraId="198759A9"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62.893.979</w:t>
            </w:r>
          </w:p>
        </w:tc>
        <w:tc>
          <w:tcPr>
            <w:tcW w:w="1140" w:type="dxa"/>
            <w:tcBorders>
              <w:top w:val="nil"/>
              <w:left w:val="nil"/>
              <w:bottom w:val="nil"/>
              <w:right w:val="single" w:sz="4" w:space="0" w:color="auto"/>
            </w:tcBorders>
            <w:shd w:val="clear" w:color="auto" w:fill="auto"/>
            <w:noWrap/>
            <w:vAlign w:val="center"/>
            <w:hideMark/>
          </w:tcPr>
          <w:p w14:paraId="78875965"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63.</w:t>
            </w:r>
            <w:r w:rsidR="00E94315" w:rsidRPr="0088141F">
              <w:rPr>
                <w:rFonts w:ascii="Times New Roman" w:eastAsia="Times New Roman" w:hAnsi="Times New Roman" w:cs="Times New Roman"/>
                <w:color w:val="000000"/>
                <w:sz w:val="20"/>
                <w:szCs w:val="20"/>
              </w:rPr>
              <w:t>810</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646</w:t>
            </w:r>
          </w:p>
        </w:tc>
        <w:tc>
          <w:tcPr>
            <w:tcW w:w="1128" w:type="dxa"/>
            <w:tcBorders>
              <w:top w:val="nil"/>
              <w:left w:val="single" w:sz="4" w:space="0" w:color="auto"/>
              <w:bottom w:val="nil"/>
              <w:right w:val="nil"/>
            </w:tcBorders>
            <w:shd w:val="clear" w:color="auto" w:fill="auto"/>
            <w:noWrap/>
            <w:vAlign w:val="bottom"/>
            <w:hideMark/>
          </w:tcPr>
          <w:p w14:paraId="7B7D6FF3"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31,9</w:t>
            </w:r>
          </w:p>
        </w:tc>
        <w:tc>
          <w:tcPr>
            <w:tcW w:w="864" w:type="dxa"/>
            <w:tcBorders>
              <w:top w:val="nil"/>
              <w:left w:val="nil"/>
              <w:bottom w:val="nil"/>
              <w:right w:val="nil"/>
            </w:tcBorders>
            <w:shd w:val="clear" w:color="auto" w:fill="auto"/>
            <w:noWrap/>
            <w:vAlign w:val="bottom"/>
            <w:hideMark/>
          </w:tcPr>
          <w:p w14:paraId="163CABA6"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32,2</w:t>
            </w:r>
          </w:p>
        </w:tc>
      </w:tr>
      <w:tr w:rsidR="00977B76" w:rsidRPr="0088141F" w14:paraId="7FD5C562" w14:textId="77777777" w:rsidTr="000B24F3">
        <w:trPr>
          <w:trHeight w:val="80"/>
        </w:trPr>
        <w:tc>
          <w:tcPr>
            <w:tcW w:w="2268" w:type="dxa"/>
            <w:tcBorders>
              <w:top w:val="nil"/>
              <w:left w:val="nil"/>
              <w:bottom w:val="nil"/>
              <w:right w:val="nil"/>
            </w:tcBorders>
            <w:shd w:val="clear" w:color="auto" w:fill="auto"/>
            <w:noWrap/>
            <w:vAlign w:val="center"/>
            <w:hideMark/>
          </w:tcPr>
          <w:p w14:paraId="63BA8F57"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100 a menos de 1.000 ha</w:t>
            </w:r>
          </w:p>
        </w:tc>
        <w:tc>
          <w:tcPr>
            <w:tcW w:w="1276" w:type="dxa"/>
            <w:tcBorders>
              <w:top w:val="nil"/>
              <w:left w:val="nil"/>
              <w:bottom w:val="nil"/>
              <w:right w:val="nil"/>
            </w:tcBorders>
            <w:shd w:val="clear" w:color="auto" w:fill="auto"/>
            <w:noWrap/>
            <w:vAlign w:val="center"/>
            <w:hideMark/>
          </w:tcPr>
          <w:p w14:paraId="0719E0A3"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424.288</w:t>
            </w:r>
          </w:p>
        </w:tc>
        <w:tc>
          <w:tcPr>
            <w:tcW w:w="940" w:type="dxa"/>
            <w:tcBorders>
              <w:top w:val="nil"/>
              <w:left w:val="nil"/>
              <w:bottom w:val="nil"/>
              <w:right w:val="single" w:sz="4" w:space="0" w:color="auto"/>
            </w:tcBorders>
            <w:shd w:val="clear" w:color="auto" w:fill="auto"/>
            <w:noWrap/>
            <w:vAlign w:val="center"/>
            <w:hideMark/>
          </w:tcPr>
          <w:p w14:paraId="06CB9380" w14:textId="77777777" w:rsidR="00977B76" w:rsidRPr="0088141F" w:rsidRDefault="00977B76" w:rsidP="00C21FFB">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420.</w:t>
            </w:r>
            <w:r w:rsidR="00C21FFB" w:rsidRPr="0088141F">
              <w:rPr>
                <w:rFonts w:ascii="Times New Roman" w:eastAsia="Times New Roman" w:hAnsi="Times New Roman" w:cs="Times New Roman"/>
                <w:color w:val="000000"/>
                <w:sz w:val="20"/>
                <w:szCs w:val="20"/>
              </w:rPr>
              <w:t>719</w:t>
            </w:r>
          </w:p>
        </w:tc>
        <w:tc>
          <w:tcPr>
            <w:tcW w:w="1328" w:type="dxa"/>
            <w:tcBorders>
              <w:top w:val="nil"/>
              <w:left w:val="single" w:sz="4" w:space="0" w:color="auto"/>
              <w:bottom w:val="nil"/>
              <w:right w:val="nil"/>
            </w:tcBorders>
            <w:shd w:val="clear" w:color="auto" w:fill="auto"/>
            <w:noWrap/>
            <w:vAlign w:val="center"/>
            <w:hideMark/>
          </w:tcPr>
          <w:p w14:paraId="4AE65783"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112.844.186</w:t>
            </w:r>
          </w:p>
        </w:tc>
        <w:tc>
          <w:tcPr>
            <w:tcW w:w="1140" w:type="dxa"/>
            <w:tcBorders>
              <w:top w:val="nil"/>
              <w:left w:val="nil"/>
              <w:bottom w:val="nil"/>
              <w:right w:val="single" w:sz="4" w:space="0" w:color="auto"/>
            </w:tcBorders>
            <w:shd w:val="clear" w:color="auto" w:fill="auto"/>
            <w:noWrap/>
            <w:vAlign w:val="center"/>
            <w:hideMark/>
          </w:tcPr>
          <w:p w14:paraId="01B81768"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112.</w:t>
            </w:r>
            <w:r w:rsidR="00E94315" w:rsidRPr="0088141F">
              <w:rPr>
                <w:rFonts w:ascii="Times New Roman" w:eastAsia="Times New Roman" w:hAnsi="Times New Roman" w:cs="Times New Roman"/>
                <w:color w:val="000000"/>
                <w:sz w:val="20"/>
                <w:szCs w:val="20"/>
              </w:rPr>
              <w:t>257</w:t>
            </w:r>
            <w:r w:rsidRPr="0088141F">
              <w:rPr>
                <w:rFonts w:ascii="Times New Roman" w:eastAsia="Times New Roman" w:hAnsi="Times New Roman" w:cs="Times New Roman"/>
                <w:color w:val="000000"/>
                <w:sz w:val="20"/>
                <w:szCs w:val="20"/>
              </w:rPr>
              <w:t>.6</w:t>
            </w:r>
            <w:r w:rsidR="00E94315" w:rsidRPr="0088141F">
              <w:rPr>
                <w:rFonts w:ascii="Times New Roman" w:eastAsia="Times New Roman" w:hAnsi="Times New Roman" w:cs="Times New Roman"/>
                <w:color w:val="000000"/>
                <w:sz w:val="20"/>
                <w:szCs w:val="20"/>
              </w:rPr>
              <w:t>9</w:t>
            </w:r>
            <w:r w:rsidRPr="0088141F">
              <w:rPr>
                <w:rFonts w:ascii="Times New Roman" w:eastAsia="Times New Roman" w:hAnsi="Times New Roman" w:cs="Times New Roman"/>
                <w:color w:val="000000"/>
                <w:sz w:val="20"/>
                <w:szCs w:val="20"/>
              </w:rPr>
              <w:t>2</w:t>
            </w:r>
          </w:p>
        </w:tc>
        <w:tc>
          <w:tcPr>
            <w:tcW w:w="1128" w:type="dxa"/>
            <w:tcBorders>
              <w:top w:val="nil"/>
              <w:left w:val="single" w:sz="4" w:space="0" w:color="auto"/>
              <w:bottom w:val="nil"/>
              <w:right w:val="nil"/>
            </w:tcBorders>
            <w:shd w:val="clear" w:color="auto" w:fill="auto"/>
            <w:noWrap/>
            <w:vAlign w:val="bottom"/>
            <w:hideMark/>
          </w:tcPr>
          <w:p w14:paraId="0E66A9F4"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266,0</w:t>
            </w:r>
          </w:p>
        </w:tc>
        <w:tc>
          <w:tcPr>
            <w:tcW w:w="864" w:type="dxa"/>
            <w:tcBorders>
              <w:top w:val="nil"/>
              <w:left w:val="nil"/>
              <w:bottom w:val="nil"/>
              <w:right w:val="nil"/>
            </w:tcBorders>
            <w:shd w:val="clear" w:color="auto" w:fill="auto"/>
            <w:noWrap/>
            <w:vAlign w:val="bottom"/>
            <w:hideMark/>
          </w:tcPr>
          <w:p w14:paraId="1392BFD3"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266,</w:t>
            </w:r>
            <w:r w:rsidR="00E94315" w:rsidRPr="0088141F">
              <w:rPr>
                <w:rFonts w:ascii="Times New Roman" w:eastAsia="Times New Roman" w:hAnsi="Times New Roman" w:cs="Times New Roman"/>
                <w:color w:val="000000"/>
                <w:sz w:val="20"/>
                <w:szCs w:val="20"/>
              </w:rPr>
              <w:t>8</w:t>
            </w:r>
          </w:p>
        </w:tc>
      </w:tr>
      <w:tr w:rsidR="00977B76" w:rsidRPr="0088141F" w14:paraId="40DE60AA" w14:textId="77777777" w:rsidTr="000B24F3">
        <w:trPr>
          <w:trHeight w:val="80"/>
        </w:trPr>
        <w:tc>
          <w:tcPr>
            <w:tcW w:w="2268" w:type="dxa"/>
            <w:tcBorders>
              <w:top w:val="nil"/>
              <w:left w:val="nil"/>
              <w:right w:val="nil"/>
            </w:tcBorders>
            <w:shd w:val="clear" w:color="auto" w:fill="auto"/>
            <w:noWrap/>
            <w:vAlign w:val="center"/>
            <w:hideMark/>
          </w:tcPr>
          <w:p w14:paraId="47024899" w14:textId="77777777" w:rsidR="00977B76" w:rsidRPr="0088141F" w:rsidRDefault="00977B76" w:rsidP="00C21FFB">
            <w:pPr>
              <w:spacing w:after="0" w:line="240" w:lineRule="auto"/>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 xml:space="preserve">De 1.000 </w:t>
            </w:r>
            <w:r w:rsidR="00C21FFB" w:rsidRPr="0088141F">
              <w:rPr>
                <w:rFonts w:ascii="Times New Roman" w:eastAsia="Times New Roman" w:hAnsi="Times New Roman" w:cs="Times New Roman"/>
                <w:color w:val="000000"/>
                <w:sz w:val="20"/>
                <w:szCs w:val="20"/>
              </w:rPr>
              <w:t>e mais</w:t>
            </w:r>
          </w:p>
        </w:tc>
        <w:tc>
          <w:tcPr>
            <w:tcW w:w="1276" w:type="dxa"/>
            <w:tcBorders>
              <w:top w:val="nil"/>
              <w:left w:val="nil"/>
              <w:right w:val="nil"/>
            </w:tcBorders>
            <w:shd w:val="clear" w:color="auto" w:fill="auto"/>
            <w:noWrap/>
            <w:vAlign w:val="center"/>
            <w:hideMark/>
          </w:tcPr>
          <w:p w14:paraId="3DA7E322"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47.578</w:t>
            </w:r>
          </w:p>
        </w:tc>
        <w:tc>
          <w:tcPr>
            <w:tcW w:w="940" w:type="dxa"/>
            <w:tcBorders>
              <w:top w:val="nil"/>
              <w:left w:val="nil"/>
              <w:right w:val="single" w:sz="4" w:space="0" w:color="auto"/>
            </w:tcBorders>
            <w:shd w:val="clear" w:color="auto" w:fill="auto"/>
            <w:noWrap/>
            <w:vAlign w:val="center"/>
            <w:hideMark/>
          </w:tcPr>
          <w:p w14:paraId="6CC1691D" w14:textId="77777777" w:rsidR="00977B76" w:rsidRPr="0088141F" w:rsidRDefault="00977B76" w:rsidP="00C21FFB">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5</w:t>
            </w:r>
            <w:r w:rsidR="00C21FFB" w:rsidRPr="0088141F">
              <w:rPr>
                <w:rFonts w:ascii="Times New Roman" w:eastAsia="Times New Roman" w:hAnsi="Times New Roman" w:cs="Times New Roman"/>
                <w:color w:val="000000"/>
                <w:sz w:val="20"/>
                <w:szCs w:val="20"/>
              </w:rPr>
              <w:t>1.203</w:t>
            </w:r>
          </w:p>
        </w:tc>
        <w:tc>
          <w:tcPr>
            <w:tcW w:w="1328" w:type="dxa"/>
            <w:tcBorders>
              <w:top w:val="nil"/>
              <w:left w:val="single" w:sz="4" w:space="0" w:color="auto"/>
              <w:right w:val="nil"/>
            </w:tcBorders>
            <w:shd w:val="clear" w:color="auto" w:fill="auto"/>
            <w:noWrap/>
            <w:vAlign w:val="center"/>
            <w:hideMark/>
          </w:tcPr>
          <w:p w14:paraId="52EA6E9A"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150.143.096</w:t>
            </w:r>
          </w:p>
        </w:tc>
        <w:tc>
          <w:tcPr>
            <w:tcW w:w="1140" w:type="dxa"/>
            <w:tcBorders>
              <w:top w:val="nil"/>
              <w:left w:val="nil"/>
              <w:right w:val="single" w:sz="4" w:space="0" w:color="auto"/>
            </w:tcBorders>
            <w:shd w:val="clear" w:color="auto" w:fill="auto"/>
            <w:noWrap/>
            <w:vAlign w:val="center"/>
            <w:hideMark/>
          </w:tcPr>
          <w:p w14:paraId="06A1E789"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16</w:t>
            </w:r>
            <w:r w:rsidR="00E94315" w:rsidRPr="0088141F">
              <w:rPr>
                <w:rFonts w:ascii="Times New Roman" w:eastAsia="Times New Roman" w:hAnsi="Times New Roman" w:cs="Times New Roman"/>
                <w:color w:val="000000"/>
                <w:sz w:val="20"/>
                <w:szCs w:val="20"/>
              </w:rPr>
              <w:t>7</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227</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511</w:t>
            </w:r>
          </w:p>
        </w:tc>
        <w:tc>
          <w:tcPr>
            <w:tcW w:w="1128" w:type="dxa"/>
            <w:tcBorders>
              <w:top w:val="nil"/>
              <w:left w:val="single" w:sz="4" w:space="0" w:color="auto"/>
              <w:right w:val="nil"/>
            </w:tcBorders>
            <w:shd w:val="clear" w:color="auto" w:fill="auto"/>
            <w:noWrap/>
            <w:vAlign w:val="bottom"/>
            <w:hideMark/>
          </w:tcPr>
          <w:p w14:paraId="0C3C213B"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3.155,7</w:t>
            </w:r>
          </w:p>
        </w:tc>
        <w:tc>
          <w:tcPr>
            <w:tcW w:w="864" w:type="dxa"/>
            <w:tcBorders>
              <w:top w:val="nil"/>
              <w:left w:val="nil"/>
              <w:right w:val="nil"/>
            </w:tcBorders>
            <w:shd w:val="clear" w:color="auto" w:fill="auto"/>
            <w:noWrap/>
            <w:vAlign w:val="bottom"/>
            <w:hideMark/>
          </w:tcPr>
          <w:p w14:paraId="79D37938"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3.2</w:t>
            </w:r>
            <w:r w:rsidR="00E94315" w:rsidRPr="0088141F">
              <w:rPr>
                <w:rFonts w:ascii="Times New Roman" w:eastAsia="Times New Roman" w:hAnsi="Times New Roman" w:cs="Times New Roman"/>
                <w:color w:val="000000"/>
                <w:sz w:val="20"/>
                <w:szCs w:val="20"/>
              </w:rPr>
              <w:t>66</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0</w:t>
            </w:r>
          </w:p>
        </w:tc>
      </w:tr>
      <w:tr w:rsidR="00977B76" w:rsidRPr="0088141F" w14:paraId="0BB3D631" w14:textId="77777777" w:rsidTr="000B24F3">
        <w:trPr>
          <w:trHeight w:val="80"/>
        </w:trPr>
        <w:tc>
          <w:tcPr>
            <w:tcW w:w="2268" w:type="dxa"/>
            <w:tcBorders>
              <w:top w:val="nil"/>
              <w:left w:val="nil"/>
              <w:bottom w:val="single" w:sz="4" w:space="0" w:color="auto"/>
              <w:right w:val="nil"/>
            </w:tcBorders>
            <w:shd w:val="clear" w:color="auto" w:fill="auto"/>
            <w:noWrap/>
            <w:vAlign w:val="center"/>
            <w:hideMark/>
          </w:tcPr>
          <w:p w14:paraId="2E2F3566" w14:textId="77777777" w:rsidR="00977B76" w:rsidRPr="0088141F" w:rsidRDefault="00977B76" w:rsidP="00AF5703">
            <w:pPr>
              <w:spacing w:after="0" w:line="240" w:lineRule="auto"/>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Sem Declaração</w:t>
            </w:r>
          </w:p>
        </w:tc>
        <w:tc>
          <w:tcPr>
            <w:tcW w:w="1276" w:type="dxa"/>
            <w:tcBorders>
              <w:top w:val="nil"/>
              <w:left w:val="nil"/>
              <w:bottom w:val="single" w:sz="4" w:space="0" w:color="auto"/>
              <w:right w:val="nil"/>
            </w:tcBorders>
            <w:shd w:val="clear" w:color="auto" w:fill="auto"/>
            <w:noWrap/>
            <w:vAlign w:val="center"/>
            <w:hideMark/>
          </w:tcPr>
          <w:p w14:paraId="64204326"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255.019</w:t>
            </w:r>
          </w:p>
        </w:tc>
        <w:tc>
          <w:tcPr>
            <w:tcW w:w="940" w:type="dxa"/>
            <w:tcBorders>
              <w:top w:val="nil"/>
              <w:left w:val="nil"/>
              <w:bottom w:val="single" w:sz="4" w:space="0" w:color="auto"/>
              <w:right w:val="single" w:sz="4" w:space="0" w:color="auto"/>
            </w:tcBorders>
            <w:shd w:val="clear" w:color="auto" w:fill="auto"/>
            <w:noWrap/>
            <w:vAlign w:val="center"/>
            <w:hideMark/>
          </w:tcPr>
          <w:p w14:paraId="44BCF261" w14:textId="77777777" w:rsidR="00977B76" w:rsidRPr="0088141F" w:rsidRDefault="00977B76" w:rsidP="00C21FFB">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w:t>
            </w:r>
            <w:r w:rsidR="00C21FFB" w:rsidRPr="0088141F">
              <w:rPr>
                <w:rFonts w:ascii="Times New Roman" w:eastAsia="Times New Roman" w:hAnsi="Times New Roman" w:cs="Times New Roman"/>
                <w:color w:val="000000"/>
                <w:sz w:val="20"/>
                <w:szCs w:val="20"/>
              </w:rPr>
              <w:t>7.037</w:t>
            </w:r>
          </w:p>
        </w:tc>
        <w:tc>
          <w:tcPr>
            <w:tcW w:w="1328" w:type="dxa"/>
            <w:tcBorders>
              <w:top w:val="nil"/>
              <w:left w:val="single" w:sz="4" w:space="0" w:color="auto"/>
              <w:bottom w:val="single" w:sz="4" w:space="0" w:color="auto"/>
              <w:right w:val="nil"/>
            </w:tcBorders>
            <w:shd w:val="clear" w:color="auto" w:fill="auto"/>
            <w:noWrap/>
            <w:vAlign w:val="bottom"/>
            <w:hideMark/>
          </w:tcPr>
          <w:p w14:paraId="1FAB4A75"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09542E78" w14:textId="77777777" w:rsidR="00977B76" w:rsidRPr="0088141F" w:rsidRDefault="00977B76" w:rsidP="00AF5703">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28" w:type="dxa"/>
            <w:tcBorders>
              <w:top w:val="nil"/>
              <w:left w:val="single" w:sz="4" w:space="0" w:color="auto"/>
              <w:bottom w:val="single" w:sz="4" w:space="0" w:color="auto"/>
              <w:right w:val="nil"/>
            </w:tcBorders>
            <w:shd w:val="clear" w:color="auto" w:fill="auto"/>
            <w:noWrap/>
            <w:vAlign w:val="bottom"/>
            <w:hideMark/>
          </w:tcPr>
          <w:p w14:paraId="7D875B66"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w:t>
            </w:r>
          </w:p>
        </w:tc>
        <w:tc>
          <w:tcPr>
            <w:tcW w:w="864" w:type="dxa"/>
            <w:tcBorders>
              <w:top w:val="nil"/>
              <w:left w:val="nil"/>
              <w:bottom w:val="single" w:sz="4" w:space="0" w:color="auto"/>
              <w:right w:val="nil"/>
            </w:tcBorders>
            <w:shd w:val="clear" w:color="auto" w:fill="auto"/>
            <w:noWrap/>
            <w:vAlign w:val="bottom"/>
            <w:hideMark/>
          </w:tcPr>
          <w:p w14:paraId="4CCA65E5"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w:t>
            </w:r>
          </w:p>
        </w:tc>
      </w:tr>
      <w:tr w:rsidR="00977B76" w:rsidRPr="0088141F" w14:paraId="4DEE57F1" w14:textId="77777777" w:rsidTr="000B24F3">
        <w:trPr>
          <w:trHeight w:val="70"/>
        </w:trPr>
        <w:tc>
          <w:tcPr>
            <w:tcW w:w="2268" w:type="dxa"/>
            <w:tcBorders>
              <w:top w:val="single" w:sz="4" w:space="0" w:color="auto"/>
              <w:left w:val="nil"/>
              <w:right w:val="nil"/>
            </w:tcBorders>
            <w:shd w:val="clear" w:color="auto" w:fill="auto"/>
            <w:noWrap/>
            <w:vAlign w:val="bottom"/>
            <w:hideMark/>
          </w:tcPr>
          <w:p w14:paraId="0D2CBAAB" w14:textId="77777777" w:rsidR="00977B76" w:rsidRPr="0088141F" w:rsidRDefault="00977B76" w:rsidP="00AF5703">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b/>
                <w:sz w:val="20"/>
                <w:szCs w:val="20"/>
              </w:rPr>
              <w:t>Grupo de Área</w:t>
            </w:r>
          </w:p>
        </w:tc>
        <w:tc>
          <w:tcPr>
            <w:tcW w:w="6676" w:type="dxa"/>
            <w:gridSpan w:val="6"/>
            <w:tcBorders>
              <w:top w:val="single" w:sz="4" w:space="0" w:color="auto"/>
              <w:left w:val="nil"/>
              <w:bottom w:val="single" w:sz="4" w:space="0" w:color="auto"/>
              <w:right w:val="nil"/>
            </w:tcBorders>
            <w:shd w:val="clear" w:color="auto" w:fill="auto"/>
            <w:noWrap/>
            <w:vAlign w:val="bottom"/>
            <w:hideMark/>
          </w:tcPr>
          <w:p w14:paraId="0801F3B0" w14:textId="77777777" w:rsidR="00977B76" w:rsidRPr="0088141F" w:rsidRDefault="00977B76" w:rsidP="00AF5703">
            <w:pPr>
              <w:spacing w:after="0" w:line="240" w:lineRule="auto"/>
              <w:jc w:val="center"/>
              <w:rPr>
                <w:rFonts w:ascii="Times New Roman" w:eastAsia="Times New Roman" w:hAnsi="Times New Roman" w:cs="Times New Roman"/>
                <w:b/>
                <w:sz w:val="20"/>
                <w:szCs w:val="20"/>
              </w:rPr>
            </w:pPr>
            <w:r w:rsidRPr="0088141F">
              <w:rPr>
                <w:rFonts w:ascii="Times New Roman" w:eastAsia="Times New Roman" w:hAnsi="Times New Roman" w:cs="Times New Roman"/>
                <w:b/>
                <w:sz w:val="20"/>
                <w:szCs w:val="20"/>
              </w:rPr>
              <w:t>CENTRO-OESTE</w:t>
            </w:r>
          </w:p>
        </w:tc>
      </w:tr>
      <w:tr w:rsidR="00977B76" w:rsidRPr="0088141F" w14:paraId="2E1B71C3" w14:textId="77777777" w:rsidTr="000B24F3">
        <w:trPr>
          <w:trHeight w:val="60"/>
        </w:trPr>
        <w:tc>
          <w:tcPr>
            <w:tcW w:w="2268" w:type="dxa"/>
            <w:tcBorders>
              <w:top w:val="single" w:sz="4" w:space="0" w:color="auto"/>
              <w:left w:val="nil"/>
              <w:bottom w:val="nil"/>
              <w:right w:val="nil"/>
            </w:tcBorders>
            <w:shd w:val="clear" w:color="auto" w:fill="auto"/>
            <w:noWrap/>
            <w:vAlign w:val="center"/>
            <w:hideMark/>
          </w:tcPr>
          <w:p w14:paraId="4BB08A72" w14:textId="77777777" w:rsidR="00977B76" w:rsidRPr="0088141F" w:rsidRDefault="00977B76" w:rsidP="00AF5703">
            <w:pPr>
              <w:spacing w:after="0" w:line="240" w:lineRule="auto"/>
              <w:jc w:val="both"/>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Total</w:t>
            </w:r>
          </w:p>
        </w:tc>
        <w:tc>
          <w:tcPr>
            <w:tcW w:w="1276" w:type="dxa"/>
            <w:tcBorders>
              <w:top w:val="single" w:sz="4" w:space="0" w:color="auto"/>
              <w:left w:val="nil"/>
              <w:bottom w:val="nil"/>
              <w:right w:val="nil"/>
            </w:tcBorders>
            <w:shd w:val="clear" w:color="auto" w:fill="auto"/>
            <w:noWrap/>
            <w:vAlign w:val="center"/>
            <w:hideMark/>
          </w:tcPr>
          <w:p w14:paraId="4EBC25B5"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317.498</w:t>
            </w:r>
          </w:p>
        </w:tc>
        <w:tc>
          <w:tcPr>
            <w:tcW w:w="940" w:type="dxa"/>
            <w:tcBorders>
              <w:top w:val="single" w:sz="4" w:space="0" w:color="auto"/>
              <w:left w:val="nil"/>
              <w:bottom w:val="nil"/>
              <w:right w:val="single" w:sz="4" w:space="0" w:color="auto"/>
            </w:tcBorders>
            <w:shd w:val="clear" w:color="auto" w:fill="auto"/>
            <w:noWrap/>
            <w:vAlign w:val="center"/>
            <w:hideMark/>
          </w:tcPr>
          <w:p w14:paraId="22FF78FB" w14:textId="77777777" w:rsidR="00977B76" w:rsidRPr="0088141F" w:rsidRDefault="00977B76" w:rsidP="00E94315">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34</w:t>
            </w:r>
            <w:r w:rsidR="00E94315" w:rsidRPr="0088141F">
              <w:rPr>
                <w:rFonts w:ascii="Times New Roman" w:eastAsia="Times New Roman" w:hAnsi="Times New Roman" w:cs="Times New Roman"/>
                <w:b/>
                <w:bCs/>
                <w:color w:val="000000"/>
                <w:sz w:val="20"/>
                <w:szCs w:val="20"/>
              </w:rPr>
              <w:t>2</w:t>
            </w:r>
            <w:r w:rsidRPr="0088141F">
              <w:rPr>
                <w:rFonts w:ascii="Times New Roman" w:eastAsia="Times New Roman" w:hAnsi="Times New Roman" w:cs="Times New Roman"/>
                <w:b/>
                <w:bCs/>
                <w:color w:val="000000"/>
                <w:sz w:val="20"/>
                <w:szCs w:val="20"/>
              </w:rPr>
              <w:t>.</w:t>
            </w:r>
            <w:r w:rsidR="00E94315" w:rsidRPr="0088141F">
              <w:rPr>
                <w:rFonts w:ascii="Times New Roman" w:eastAsia="Times New Roman" w:hAnsi="Times New Roman" w:cs="Times New Roman"/>
                <w:b/>
                <w:bCs/>
                <w:color w:val="000000"/>
                <w:sz w:val="20"/>
                <w:szCs w:val="20"/>
              </w:rPr>
              <w:t>017</w:t>
            </w:r>
          </w:p>
        </w:tc>
        <w:tc>
          <w:tcPr>
            <w:tcW w:w="1328" w:type="dxa"/>
            <w:tcBorders>
              <w:top w:val="single" w:sz="4" w:space="0" w:color="auto"/>
              <w:left w:val="single" w:sz="4" w:space="0" w:color="auto"/>
              <w:bottom w:val="nil"/>
              <w:right w:val="nil"/>
            </w:tcBorders>
            <w:shd w:val="clear" w:color="auto" w:fill="auto"/>
            <w:noWrap/>
            <w:vAlign w:val="center"/>
            <w:hideMark/>
          </w:tcPr>
          <w:p w14:paraId="3DD1020F"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105.351.087</w:t>
            </w:r>
          </w:p>
        </w:tc>
        <w:tc>
          <w:tcPr>
            <w:tcW w:w="1140" w:type="dxa"/>
            <w:tcBorders>
              <w:top w:val="single" w:sz="4" w:space="0" w:color="auto"/>
              <w:left w:val="nil"/>
              <w:bottom w:val="nil"/>
              <w:right w:val="single" w:sz="4" w:space="0" w:color="auto"/>
            </w:tcBorders>
            <w:shd w:val="clear" w:color="auto" w:fill="auto"/>
            <w:noWrap/>
            <w:vAlign w:val="center"/>
            <w:hideMark/>
          </w:tcPr>
          <w:p w14:paraId="1648E13A" w14:textId="77777777" w:rsidR="00977B76" w:rsidRPr="0088141F" w:rsidRDefault="00977B76" w:rsidP="00E94315">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11</w:t>
            </w:r>
            <w:r w:rsidR="00E94315" w:rsidRPr="0088141F">
              <w:rPr>
                <w:rFonts w:ascii="Times New Roman" w:eastAsia="Times New Roman" w:hAnsi="Times New Roman" w:cs="Times New Roman"/>
                <w:b/>
                <w:bCs/>
                <w:color w:val="000000"/>
                <w:sz w:val="20"/>
                <w:szCs w:val="20"/>
              </w:rPr>
              <w:t>1</w:t>
            </w:r>
            <w:r w:rsidRPr="0088141F">
              <w:rPr>
                <w:rFonts w:ascii="Times New Roman" w:eastAsia="Times New Roman" w:hAnsi="Times New Roman" w:cs="Times New Roman"/>
                <w:b/>
                <w:bCs/>
                <w:color w:val="000000"/>
                <w:sz w:val="20"/>
                <w:szCs w:val="20"/>
              </w:rPr>
              <w:t>.</w:t>
            </w:r>
            <w:r w:rsidR="00E94315" w:rsidRPr="0088141F">
              <w:rPr>
                <w:rFonts w:ascii="Times New Roman" w:eastAsia="Times New Roman" w:hAnsi="Times New Roman" w:cs="Times New Roman"/>
                <w:b/>
                <w:bCs/>
                <w:color w:val="000000"/>
                <w:sz w:val="20"/>
                <w:szCs w:val="20"/>
              </w:rPr>
              <w:t>747</w:t>
            </w:r>
            <w:r w:rsidRPr="0088141F">
              <w:rPr>
                <w:rFonts w:ascii="Times New Roman" w:eastAsia="Times New Roman" w:hAnsi="Times New Roman" w:cs="Times New Roman"/>
                <w:b/>
                <w:bCs/>
                <w:color w:val="000000"/>
                <w:sz w:val="20"/>
                <w:szCs w:val="20"/>
              </w:rPr>
              <w:t>.</w:t>
            </w:r>
            <w:r w:rsidR="00E94315" w:rsidRPr="0088141F">
              <w:rPr>
                <w:rFonts w:ascii="Times New Roman" w:eastAsia="Times New Roman" w:hAnsi="Times New Roman" w:cs="Times New Roman"/>
                <w:b/>
                <w:bCs/>
                <w:color w:val="000000"/>
                <w:sz w:val="20"/>
                <w:szCs w:val="20"/>
              </w:rPr>
              <w:t>274</w:t>
            </w:r>
          </w:p>
        </w:tc>
        <w:tc>
          <w:tcPr>
            <w:tcW w:w="1128" w:type="dxa"/>
            <w:tcBorders>
              <w:top w:val="single" w:sz="4" w:space="0" w:color="auto"/>
              <w:left w:val="single" w:sz="4" w:space="0" w:color="auto"/>
              <w:bottom w:val="nil"/>
              <w:right w:val="nil"/>
            </w:tcBorders>
            <w:shd w:val="clear" w:color="auto" w:fill="auto"/>
            <w:noWrap/>
            <w:vAlign w:val="bottom"/>
            <w:hideMark/>
          </w:tcPr>
          <w:p w14:paraId="04F53781" w14:textId="77777777" w:rsidR="00977B76" w:rsidRPr="0088141F" w:rsidRDefault="00977B76" w:rsidP="00AF5703">
            <w:pPr>
              <w:spacing w:after="0" w:line="240" w:lineRule="auto"/>
              <w:jc w:val="center"/>
              <w:rPr>
                <w:rFonts w:ascii="Times New Roman" w:eastAsia="Times New Roman" w:hAnsi="Times New Roman" w:cs="Times New Roman"/>
                <w:b/>
                <w:color w:val="000000"/>
                <w:sz w:val="20"/>
                <w:szCs w:val="20"/>
              </w:rPr>
            </w:pPr>
            <w:r w:rsidRPr="0088141F">
              <w:rPr>
                <w:rFonts w:ascii="Times New Roman" w:eastAsia="Times New Roman" w:hAnsi="Times New Roman" w:cs="Times New Roman"/>
                <w:b/>
                <w:color w:val="000000"/>
                <w:sz w:val="20"/>
                <w:szCs w:val="20"/>
              </w:rPr>
              <w:t>331,8</w:t>
            </w:r>
          </w:p>
        </w:tc>
        <w:tc>
          <w:tcPr>
            <w:tcW w:w="864" w:type="dxa"/>
            <w:tcBorders>
              <w:top w:val="single" w:sz="4" w:space="0" w:color="auto"/>
              <w:left w:val="nil"/>
              <w:bottom w:val="nil"/>
              <w:right w:val="nil"/>
            </w:tcBorders>
            <w:shd w:val="clear" w:color="auto" w:fill="auto"/>
            <w:noWrap/>
            <w:vAlign w:val="bottom"/>
            <w:hideMark/>
          </w:tcPr>
          <w:p w14:paraId="4E5F03A3" w14:textId="77777777" w:rsidR="00977B76" w:rsidRPr="0088141F" w:rsidRDefault="00977B76" w:rsidP="00B32A38">
            <w:pPr>
              <w:spacing w:after="0" w:line="240" w:lineRule="auto"/>
              <w:jc w:val="center"/>
              <w:rPr>
                <w:rFonts w:ascii="Times New Roman" w:eastAsia="Times New Roman" w:hAnsi="Times New Roman" w:cs="Times New Roman"/>
                <w:b/>
                <w:color w:val="000000"/>
                <w:sz w:val="20"/>
                <w:szCs w:val="20"/>
              </w:rPr>
            </w:pPr>
            <w:r w:rsidRPr="0088141F">
              <w:rPr>
                <w:rFonts w:ascii="Times New Roman" w:eastAsia="Times New Roman" w:hAnsi="Times New Roman" w:cs="Times New Roman"/>
                <w:b/>
                <w:color w:val="000000"/>
                <w:sz w:val="20"/>
                <w:szCs w:val="20"/>
              </w:rPr>
              <w:t>3</w:t>
            </w:r>
            <w:r w:rsidR="00B32A38" w:rsidRPr="0088141F">
              <w:rPr>
                <w:rFonts w:ascii="Times New Roman" w:eastAsia="Times New Roman" w:hAnsi="Times New Roman" w:cs="Times New Roman"/>
                <w:b/>
                <w:color w:val="000000"/>
                <w:sz w:val="20"/>
                <w:szCs w:val="20"/>
              </w:rPr>
              <w:t>26,7</w:t>
            </w:r>
          </w:p>
        </w:tc>
      </w:tr>
      <w:tr w:rsidR="00977B76" w:rsidRPr="0088141F" w14:paraId="778BBE6D" w14:textId="77777777" w:rsidTr="000B24F3">
        <w:trPr>
          <w:trHeight w:val="80"/>
        </w:trPr>
        <w:tc>
          <w:tcPr>
            <w:tcW w:w="2268" w:type="dxa"/>
            <w:tcBorders>
              <w:top w:val="nil"/>
              <w:left w:val="nil"/>
              <w:bottom w:val="nil"/>
              <w:right w:val="nil"/>
            </w:tcBorders>
            <w:shd w:val="clear" w:color="auto" w:fill="auto"/>
            <w:noWrap/>
            <w:vAlign w:val="center"/>
            <w:hideMark/>
          </w:tcPr>
          <w:p w14:paraId="6DE80EBE"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Menos de 10 ha</w:t>
            </w:r>
          </w:p>
        </w:tc>
        <w:tc>
          <w:tcPr>
            <w:tcW w:w="1276" w:type="dxa"/>
            <w:tcBorders>
              <w:top w:val="nil"/>
              <w:left w:val="nil"/>
              <w:bottom w:val="nil"/>
              <w:right w:val="nil"/>
            </w:tcBorders>
            <w:shd w:val="clear" w:color="auto" w:fill="auto"/>
            <w:noWrap/>
            <w:vAlign w:val="center"/>
            <w:hideMark/>
          </w:tcPr>
          <w:p w14:paraId="7A8A851B"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52.267</w:t>
            </w:r>
          </w:p>
        </w:tc>
        <w:tc>
          <w:tcPr>
            <w:tcW w:w="940" w:type="dxa"/>
            <w:tcBorders>
              <w:top w:val="nil"/>
              <w:left w:val="nil"/>
              <w:bottom w:val="nil"/>
              <w:right w:val="single" w:sz="4" w:space="0" w:color="auto"/>
            </w:tcBorders>
            <w:shd w:val="clear" w:color="auto" w:fill="auto"/>
            <w:noWrap/>
            <w:vAlign w:val="center"/>
            <w:hideMark/>
          </w:tcPr>
          <w:p w14:paraId="2F216734"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w:t>
            </w:r>
            <w:r w:rsidR="00E94315" w:rsidRPr="0088141F">
              <w:rPr>
                <w:rFonts w:ascii="Times New Roman" w:eastAsia="Times New Roman" w:hAnsi="Times New Roman" w:cs="Times New Roman"/>
                <w:color w:val="000000"/>
                <w:sz w:val="20"/>
                <w:szCs w:val="20"/>
              </w:rPr>
              <w:t>5.484</w:t>
            </w:r>
          </w:p>
        </w:tc>
        <w:tc>
          <w:tcPr>
            <w:tcW w:w="1328" w:type="dxa"/>
            <w:tcBorders>
              <w:top w:val="nil"/>
              <w:left w:val="single" w:sz="4" w:space="0" w:color="auto"/>
              <w:bottom w:val="nil"/>
              <w:right w:val="nil"/>
            </w:tcBorders>
            <w:shd w:val="clear" w:color="auto" w:fill="auto"/>
            <w:noWrap/>
            <w:vAlign w:val="center"/>
            <w:hideMark/>
          </w:tcPr>
          <w:p w14:paraId="2F80FC40"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243.182</w:t>
            </w:r>
          </w:p>
        </w:tc>
        <w:tc>
          <w:tcPr>
            <w:tcW w:w="1140" w:type="dxa"/>
            <w:tcBorders>
              <w:top w:val="nil"/>
              <w:left w:val="nil"/>
              <w:bottom w:val="nil"/>
              <w:right w:val="single" w:sz="4" w:space="0" w:color="auto"/>
            </w:tcBorders>
            <w:shd w:val="clear" w:color="auto" w:fill="auto"/>
            <w:noWrap/>
            <w:vAlign w:val="center"/>
            <w:hideMark/>
          </w:tcPr>
          <w:p w14:paraId="0259EC3C" w14:textId="77777777" w:rsidR="00977B76" w:rsidRPr="0088141F" w:rsidRDefault="00E94315"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299.681</w:t>
            </w:r>
          </w:p>
        </w:tc>
        <w:tc>
          <w:tcPr>
            <w:tcW w:w="1128" w:type="dxa"/>
            <w:tcBorders>
              <w:top w:val="nil"/>
              <w:left w:val="single" w:sz="4" w:space="0" w:color="auto"/>
              <w:bottom w:val="nil"/>
              <w:right w:val="nil"/>
            </w:tcBorders>
            <w:shd w:val="clear" w:color="auto" w:fill="auto"/>
            <w:noWrap/>
            <w:vAlign w:val="bottom"/>
            <w:hideMark/>
          </w:tcPr>
          <w:p w14:paraId="4EC86A20"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4,6</w:t>
            </w:r>
          </w:p>
        </w:tc>
        <w:tc>
          <w:tcPr>
            <w:tcW w:w="864" w:type="dxa"/>
            <w:tcBorders>
              <w:top w:val="nil"/>
              <w:left w:val="nil"/>
              <w:bottom w:val="nil"/>
              <w:right w:val="nil"/>
            </w:tcBorders>
            <w:shd w:val="clear" w:color="auto" w:fill="auto"/>
            <w:noWrap/>
            <w:vAlign w:val="bottom"/>
            <w:hideMark/>
          </w:tcPr>
          <w:p w14:paraId="799C2D88"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w:t>
            </w:r>
            <w:r w:rsidR="00B32A38" w:rsidRPr="0088141F">
              <w:rPr>
                <w:rFonts w:ascii="Times New Roman" w:eastAsia="Times New Roman" w:hAnsi="Times New Roman" w:cs="Times New Roman"/>
                <w:color w:val="000000"/>
                <w:sz w:val="20"/>
                <w:szCs w:val="20"/>
              </w:rPr>
              <w:t>6</w:t>
            </w:r>
          </w:p>
        </w:tc>
      </w:tr>
      <w:tr w:rsidR="00977B76" w:rsidRPr="0088141F" w14:paraId="23E35C52" w14:textId="77777777" w:rsidTr="000B24F3">
        <w:trPr>
          <w:trHeight w:val="80"/>
        </w:trPr>
        <w:tc>
          <w:tcPr>
            <w:tcW w:w="2268" w:type="dxa"/>
            <w:tcBorders>
              <w:top w:val="nil"/>
              <w:left w:val="nil"/>
              <w:bottom w:val="nil"/>
              <w:right w:val="nil"/>
            </w:tcBorders>
            <w:shd w:val="clear" w:color="auto" w:fill="auto"/>
            <w:noWrap/>
            <w:vAlign w:val="center"/>
            <w:hideMark/>
          </w:tcPr>
          <w:p w14:paraId="47155DE6"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10 a menos de 100 ha</w:t>
            </w:r>
          </w:p>
        </w:tc>
        <w:tc>
          <w:tcPr>
            <w:tcW w:w="1276" w:type="dxa"/>
            <w:tcBorders>
              <w:top w:val="nil"/>
              <w:left w:val="nil"/>
              <w:bottom w:val="nil"/>
              <w:right w:val="nil"/>
            </w:tcBorders>
            <w:shd w:val="clear" w:color="auto" w:fill="auto"/>
            <w:noWrap/>
            <w:vAlign w:val="center"/>
            <w:hideMark/>
          </w:tcPr>
          <w:p w14:paraId="19C0159A"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164.732</w:t>
            </w:r>
          </w:p>
        </w:tc>
        <w:tc>
          <w:tcPr>
            <w:tcW w:w="940" w:type="dxa"/>
            <w:tcBorders>
              <w:top w:val="nil"/>
              <w:left w:val="nil"/>
              <w:bottom w:val="nil"/>
              <w:right w:val="single" w:sz="4" w:space="0" w:color="auto"/>
            </w:tcBorders>
            <w:shd w:val="clear" w:color="auto" w:fill="auto"/>
            <w:noWrap/>
            <w:vAlign w:val="center"/>
            <w:hideMark/>
          </w:tcPr>
          <w:p w14:paraId="79096EA3" w14:textId="77777777" w:rsidR="00977B76" w:rsidRPr="0088141F" w:rsidRDefault="00E94315"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177.992</w:t>
            </w:r>
          </w:p>
        </w:tc>
        <w:tc>
          <w:tcPr>
            <w:tcW w:w="1328" w:type="dxa"/>
            <w:tcBorders>
              <w:top w:val="nil"/>
              <w:left w:val="single" w:sz="4" w:space="0" w:color="auto"/>
              <w:bottom w:val="nil"/>
              <w:right w:val="nil"/>
            </w:tcBorders>
            <w:shd w:val="clear" w:color="auto" w:fill="auto"/>
            <w:noWrap/>
            <w:vAlign w:val="center"/>
            <w:hideMark/>
          </w:tcPr>
          <w:p w14:paraId="79E65E2B"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6.344.666</w:t>
            </w:r>
          </w:p>
        </w:tc>
        <w:tc>
          <w:tcPr>
            <w:tcW w:w="1140" w:type="dxa"/>
            <w:tcBorders>
              <w:top w:val="nil"/>
              <w:left w:val="nil"/>
              <w:bottom w:val="nil"/>
              <w:right w:val="single" w:sz="4" w:space="0" w:color="auto"/>
            </w:tcBorders>
            <w:shd w:val="clear" w:color="auto" w:fill="auto"/>
            <w:noWrap/>
            <w:vAlign w:val="center"/>
            <w:hideMark/>
          </w:tcPr>
          <w:p w14:paraId="15B79AAC"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6.7</w:t>
            </w:r>
            <w:r w:rsidR="00E94315" w:rsidRPr="0088141F">
              <w:rPr>
                <w:rFonts w:ascii="Times New Roman" w:eastAsia="Times New Roman" w:hAnsi="Times New Roman" w:cs="Times New Roman"/>
                <w:color w:val="000000"/>
                <w:sz w:val="20"/>
                <w:szCs w:val="20"/>
              </w:rPr>
              <w:t>55.717</w:t>
            </w:r>
          </w:p>
        </w:tc>
        <w:tc>
          <w:tcPr>
            <w:tcW w:w="1128" w:type="dxa"/>
            <w:tcBorders>
              <w:top w:val="nil"/>
              <w:left w:val="single" w:sz="4" w:space="0" w:color="auto"/>
              <w:bottom w:val="nil"/>
              <w:right w:val="nil"/>
            </w:tcBorders>
            <w:shd w:val="clear" w:color="auto" w:fill="auto"/>
            <w:noWrap/>
            <w:vAlign w:val="bottom"/>
            <w:hideMark/>
          </w:tcPr>
          <w:p w14:paraId="3FB5867C"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38,5</w:t>
            </w:r>
          </w:p>
        </w:tc>
        <w:tc>
          <w:tcPr>
            <w:tcW w:w="864" w:type="dxa"/>
            <w:tcBorders>
              <w:top w:val="nil"/>
              <w:left w:val="nil"/>
              <w:bottom w:val="nil"/>
              <w:right w:val="nil"/>
            </w:tcBorders>
            <w:shd w:val="clear" w:color="auto" w:fill="auto"/>
            <w:noWrap/>
            <w:vAlign w:val="bottom"/>
            <w:hideMark/>
          </w:tcPr>
          <w:p w14:paraId="31F52042"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w:t>
            </w:r>
            <w:r w:rsidR="00B32A38" w:rsidRPr="0088141F">
              <w:rPr>
                <w:rFonts w:ascii="Times New Roman" w:eastAsia="Times New Roman" w:hAnsi="Times New Roman" w:cs="Times New Roman"/>
                <w:color w:val="000000"/>
                <w:sz w:val="20"/>
                <w:szCs w:val="20"/>
              </w:rPr>
              <w:t>8</w:t>
            </w:r>
            <w:r w:rsidRPr="0088141F">
              <w:rPr>
                <w:rFonts w:ascii="Times New Roman" w:eastAsia="Times New Roman" w:hAnsi="Times New Roman" w:cs="Times New Roman"/>
                <w:color w:val="000000"/>
                <w:sz w:val="20"/>
                <w:szCs w:val="20"/>
              </w:rPr>
              <w:t>,</w:t>
            </w:r>
            <w:r w:rsidR="00B32A38" w:rsidRPr="0088141F">
              <w:rPr>
                <w:rFonts w:ascii="Times New Roman" w:eastAsia="Times New Roman" w:hAnsi="Times New Roman" w:cs="Times New Roman"/>
                <w:color w:val="000000"/>
                <w:sz w:val="20"/>
                <w:szCs w:val="20"/>
              </w:rPr>
              <w:t>0</w:t>
            </w:r>
          </w:p>
        </w:tc>
      </w:tr>
      <w:tr w:rsidR="00977B76" w:rsidRPr="0088141F" w14:paraId="5C9828E8" w14:textId="77777777" w:rsidTr="000B24F3">
        <w:trPr>
          <w:trHeight w:val="80"/>
        </w:trPr>
        <w:tc>
          <w:tcPr>
            <w:tcW w:w="2268" w:type="dxa"/>
            <w:tcBorders>
              <w:top w:val="nil"/>
              <w:left w:val="nil"/>
              <w:bottom w:val="nil"/>
              <w:right w:val="nil"/>
            </w:tcBorders>
            <w:shd w:val="clear" w:color="auto" w:fill="auto"/>
            <w:noWrap/>
            <w:vAlign w:val="center"/>
            <w:hideMark/>
          </w:tcPr>
          <w:p w14:paraId="64596F2F"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100 a menos de 1.000 ha</w:t>
            </w:r>
          </w:p>
        </w:tc>
        <w:tc>
          <w:tcPr>
            <w:tcW w:w="1276" w:type="dxa"/>
            <w:tcBorders>
              <w:top w:val="nil"/>
              <w:left w:val="nil"/>
              <w:bottom w:val="nil"/>
              <w:right w:val="nil"/>
            </w:tcBorders>
            <w:shd w:val="clear" w:color="auto" w:fill="auto"/>
            <w:noWrap/>
            <w:vAlign w:val="center"/>
            <w:hideMark/>
          </w:tcPr>
          <w:p w14:paraId="560B3D28"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76.632</w:t>
            </w:r>
          </w:p>
        </w:tc>
        <w:tc>
          <w:tcPr>
            <w:tcW w:w="940" w:type="dxa"/>
            <w:tcBorders>
              <w:top w:val="nil"/>
              <w:left w:val="nil"/>
              <w:bottom w:val="nil"/>
              <w:right w:val="single" w:sz="4" w:space="0" w:color="auto"/>
            </w:tcBorders>
            <w:shd w:val="clear" w:color="auto" w:fill="auto"/>
            <w:noWrap/>
            <w:vAlign w:val="center"/>
            <w:hideMark/>
          </w:tcPr>
          <w:p w14:paraId="083614A1"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76.</w:t>
            </w:r>
            <w:r w:rsidR="00E94315" w:rsidRPr="0088141F">
              <w:rPr>
                <w:rFonts w:ascii="Times New Roman" w:eastAsia="Times New Roman" w:hAnsi="Times New Roman" w:cs="Times New Roman"/>
                <w:color w:val="000000"/>
                <w:sz w:val="20"/>
                <w:szCs w:val="20"/>
              </w:rPr>
              <w:t>353</w:t>
            </w:r>
          </w:p>
        </w:tc>
        <w:tc>
          <w:tcPr>
            <w:tcW w:w="1328" w:type="dxa"/>
            <w:tcBorders>
              <w:top w:val="nil"/>
              <w:left w:val="single" w:sz="4" w:space="0" w:color="auto"/>
              <w:bottom w:val="nil"/>
              <w:right w:val="nil"/>
            </w:tcBorders>
            <w:shd w:val="clear" w:color="auto" w:fill="auto"/>
            <w:noWrap/>
            <w:vAlign w:val="center"/>
            <w:hideMark/>
          </w:tcPr>
          <w:p w14:paraId="1DC229F3"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24.925.126</w:t>
            </w:r>
          </w:p>
        </w:tc>
        <w:tc>
          <w:tcPr>
            <w:tcW w:w="1140" w:type="dxa"/>
            <w:tcBorders>
              <w:top w:val="nil"/>
              <w:left w:val="nil"/>
              <w:bottom w:val="nil"/>
              <w:right w:val="single" w:sz="4" w:space="0" w:color="auto"/>
            </w:tcBorders>
            <w:shd w:val="clear" w:color="auto" w:fill="auto"/>
            <w:noWrap/>
            <w:vAlign w:val="center"/>
            <w:hideMark/>
          </w:tcPr>
          <w:p w14:paraId="3CD0115D"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24.6</w:t>
            </w:r>
            <w:r w:rsidR="00E94315" w:rsidRPr="0088141F">
              <w:rPr>
                <w:rFonts w:ascii="Times New Roman" w:eastAsia="Times New Roman" w:hAnsi="Times New Roman" w:cs="Times New Roman"/>
                <w:color w:val="000000"/>
                <w:sz w:val="20"/>
                <w:szCs w:val="20"/>
              </w:rPr>
              <w:t>07</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216</w:t>
            </w:r>
          </w:p>
        </w:tc>
        <w:tc>
          <w:tcPr>
            <w:tcW w:w="1128" w:type="dxa"/>
            <w:tcBorders>
              <w:top w:val="nil"/>
              <w:left w:val="single" w:sz="4" w:space="0" w:color="auto"/>
              <w:bottom w:val="nil"/>
              <w:right w:val="nil"/>
            </w:tcBorders>
            <w:shd w:val="clear" w:color="auto" w:fill="auto"/>
            <w:noWrap/>
            <w:vAlign w:val="bottom"/>
            <w:hideMark/>
          </w:tcPr>
          <w:p w14:paraId="1536FE92"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325,2</w:t>
            </w:r>
          </w:p>
        </w:tc>
        <w:tc>
          <w:tcPr>
            <w:tcW w:w="864" w:type="dxa"/>
            <w:tcBorders>
              <w:top w:val="nil"/>
              <w:left w:val="nil"/>
              <w:bottom w:val="nil"/>
              <w:right w:val="nil"/>
            </w:tcBorders>
            <w:shd w:val="clear" w:color="auto" w:fill="auto"/>
            <w:noWrap/>
            <w:vAlign w:val="bottom"/>
            <w:hideMark/>
          </w:tcPr>
          <w:p w14:paraId="79D0DC16"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32</w:t>
            </w:r>
            <w:r w:rsidR="00B32A38" w:rsidRPr="0088141F">
              <w:rPr>
                <w:rFonts w:ascii="Times New Roman" w:eastAsia="Times New Roman" w:hAnsi="Times New Roman" w:cs="Times New Roman"/>
                <w:color w:val="000000"/>
                <w:sz w:val="20"/>
                <w:szCs w:val="20"/>
              </w:rPr>
              <w:t>2</w:t>
            </w:r>
            <w:r w:rsidRPr="0088141F">
              <w:rPr>
                <w:rFonts w:ascii="Times New Roman" w:eastAsia="Times New Roman" w:hAnsi="Times New Roman" w:cs="Times New Roman"/>
                <w:color w:val="000000"/>
                <w:sz w:val="20"/>
                <w:szCs w:val="20"/>
              </w:rPr>
              <w:t>,</w:t>
            </w:r>
            <w:r w:rsidR="00B32A38" w:rsidRPr="0088141F">
              <w:rPr>
                <w:rFonts w:ascii="Times New Roman" w:eastAsia="Times New Roman" w:hAnsi="Times New Roman" w:cs="Times New Roman"/>
                <w:color w:val="000000"/>
                <w:sz w:val="20"/>
                <w:szCs w:val="20"/>
              </w:rPr>
              <w:t>3</w:t>
            </w:r>
          </w:p>
        </w:tc>
      </w:tr>
      <w:tr w:rsidR="00977B76" w:rsidRPr="0088141F" w14:paraId="19F4ED8E" w14:textId="77777777" w:rsidTr="000B24F3">
        <w:trPr>
          <w:trHeight w:val="80"/>
        </w:trPr>
        <w:tc>
          <w:tcPr>
            <w:tcW w:w="2268" w:type="dxa"/>
            <w:tcBorders>
              <w:top w:val="nil"/>
              <w:left w:val="nil"/>
              <w:right w:val="nil"/>
            </w:tcBorders>
            <w:shd w:val="clear" w:color="auto" w:fill="auto"/>
            <w:noWrap/>
            <w:vAlign w:val="center"/>
            <w:hideMark/>
          </w:tcPr>
          <w:p w14:paraId="5466424B"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De 1.000 e mais</w:t>
            </w:r>
          </w:p>
        </w:tc>
        <w:tc>
          <w:tcPr>
            <w:tcW w:w="1276" w:type="dxa"/>
            <w:tcBorders>
              <w:top w:val="nil"/>
              <w:left w:val="nil"/>
              <w:right w:val="nil"/>
            </w:tcBorders>
            <w:shd w:val="clear" w:color="auto" w:fill="auto"/>
            <w:noWrap/>
            <w:vAlign w:val="center"/>
            <w:hideMark/>
          </w:tcPr>
          <w:p w14:paraId="720A144E"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20.436</w:t>
            </w:r>
          </w:p>
        </w:tc>
        <w:tc>
          <w:tcPr>
            <w:tcW w:w="940" w:type="dxa"/>
            <w:tcBorders>
              <w:top w:val="nil"/>
              <w:left w:val="nil"/>
              <w:right w:val="single" w:sz="4" w:space="0" w:color="auto"/>
            </w:tcBorders>
            <w:shd w:val="clear" w:color="auto" w:fill="auto"/>
            <w:noWrap/>
            <w:vAlign w:val="center"/>
            <w:hideMark/>
          </w:tcPr>
          <w:p w14:paraId="07B9E51B"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21.</w:t>
            </w:r>
            <w:r w:rsidR="00E94315" w:rsidRPr="0088141F">
              <w:rPr>
                <w:rFonts w:ascii="Times New Roman" w:eastAsia="Times New Roman" w:hAnsi="Times New Roman" w:cs="Times New Roman"/>
                <w:color w:val="000000"/>
                <w:sz w:val="20"/>
                <w:szCs w:val="20"/>
              </w:rPr>
              <w:t>472</w:t>
            </w:r>
          </w:p>
        </w:tc>
        <w:tc>
          <w:tcPr>
            <w:tcW w:w="1328" w:type="dxa"/>
            <w:tcBorders>
              <w:top w:val="nil"/>
              <w:left w:val="single" w:sz="4" w:space="0" w:color="auto"/>
              <w:right w:val="nil"/>
            </w:tcBorders>
            <w:shd w:val="clear" w:color="auto" w:fill="auto"/>
            <w:noWrap/>
            <w:vAlign w:val="center"/>
            <w:hideMark/>
          </w:tcPr>
          <w:p w14:paraId="0196FE86"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73.838.113</w:t>
            </w:r>
          </w:p>
        </w:tc>
        <w:tc>
          <w:tcPr>
            <w:tcW w:w="1140" w:type="dxa"/>
            <w:tcBorders>
              <w:top w:val="nil"/>
              <w:left w:val="nil"/>
              <w:right w:val="single" w:sz="4" w:space="0" w:color="auto"/>
            </w:tcBorders>
            <w:shd w:val="clear" w:color="auto" w:fill="auto"/>
            <w:noWrap/>
            <w:vAlign w:val="center"/>
            <w:hideMark/>
          </w:tcPr>
          <w:p w14:paraId="18AF199F" w14:textId="77777777" w:rsidR="00977B76" w:rsidRPr="0088141F" w:rsidRDefault="00E94315"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80</w:t>
            </w:r>
            <w:r w:rsidR="00977B76" w:rsidRPr="0088141F">
              <w:rPr>
                <w:rFonts w:ascii="Times New Roman" w:eastAsia="Times New Roman" w:hAnsi="Times New Roman" w:cs="Times New Roman"/>
                <w:color w:val="000000"/>
                <w:sz w:val="20"/>
                <w:szCs w:val="20"/>
              </w:rPr>
              <w:t>.</w:t>
            </w:r>
            <w:r w:rsidRPr="0088141F">
              <w:rPr>
                <w:rFonts w:ascii="Times New Roman" w:eastAsia="Times New Roman" w:hAnsi="Times New Roman" w:cs="Times New Roman"/>
                <w:color w:val="000000"/>
                <w:sz w:val="20"/>
                <w:szCs w:val="20"/>
              </w:rPr>
              <w:t>084</w:t>
            </w:r>
            <w:r w:rsidR="00977B76" w:rsidRPr="0088141F">
              <w:rPr>
                <w:rFonts w:ascii="Times New Roman" w:eastAsia="Times New Roman" w:hAnsi="Times New Roman" w:cs="Times New Roman"/>
                <w:color w:val="000000"/>
                <w:sz w:val="20"/>
                <w:szCs w:val="20"/>
              </w:rPr>
              <w:t>.</w:t>
            </w:r>
            <w:r w:rsidRPr="0088141F">
              <w:rPr>
                <w:rFonts w:ascii="Times New Roman" w:eastAsia="Times New Roman" w:hAnsi="Times New Roman" w:cs="Times New Roman"/>
                <w:color w:val="000000"/>
                <w:sz w:val="20"/>
                <w:szCs w:val="20"/>
              </w:rPr>
              <w:t>662</w:t>
            </w:r>
          </w:p>
        </w:tc>
        <w:tc>
          <w:tcPr>
            <w:tcW w:w="1128" w:type="dxa"/>
            <w:tcBorders>
              <w:top w:val="nil"/>
              <w:left w:val="single" w:sz="4" w:space="0" w:color="auto"/>
              <w:right w:val="nil"/>
            </w:tcBorders>
            <w:shd w:val="clear" w:color="auto" w:fill="auto"/>
            <w:noWrap/>
            <w:vAlign w:val="bottom"/>
            <w:hideMark/>
          </w:tcPr>
          <w:p w14:paraId="1076B26C"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3.613,1</w:t>
            </w:r>
          </w:p>
        </w:tc>
        <w:tc>
          <w:tcPr>
            <w:tcW w:w="864" w:type="dxa"/>
            <w:tcBorders>
              <w:top w:val="nil"/>
              <w:left w:val="nil"/>
              <w:right w:val="nil"/>
            </w:tcBorders>
            <w:shd w:val="clear" w:color="auto" w:fill="auto"/>
            <w:noWrap/>
            <w:vAlign w:val="bottom"/>
            <w:hideMark/>
          </w:tcPr>
          <w:p w14:paraId="34A7870E"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3.7</w:t>
            </w:r>
            <w:r w:rsidR="00B32A38" w:rsidRPr="0088141F">
              <w:rPr>
                <w:rFonts w:ascii="Times New Roman" w:eastAsia="Times New Roman" w:hAnsi="Times New Roman" w:cs="Times New Roman"/>
                <w:color w:val="000000"/>
                <w:sz w:val="20"/>
                <w:szCs w:val="20"/>
              </w:rPr>
              <w:t>29</w:t>
            </w:r>
            <w:r w:rsidRPr="0088141F">
              <w:rPr>
                <w:rFonts w:ascii="Times New Roman" w:eastAsia="Times New Roman" w:hAnsi="Times New Roman" w:cs="Times New Roman"/>
                <w:color w:val="000000"/>
                <w:sz w:val="20"/>
                <w:szCs w:val="20"/>
              </w:rPr>
              <w:t>,</w:t>
            </w:r>
            <w:r w:rsidR="00B32A38" w:rsidRPr="0088141F">
              <w:rPr>
                <w:rFonts w:ascii="Times New Roman" w:eastAsia="Times New Roman" w:hAnsi="Times New Roman" w:cs="Times New Roman"/>
                <w:color w:val="000000"/>
                <w:sz w:val="20"/>
                <w:szCs w:val="20"/>
              </w:rPr>
              <w:t>7</w:t>
            </w:r>
          </w:p>
        </w:tc>
      </w:tr>
      <w:tr w:rsidR="00977B76" w:rsidRPr="0088141F" w14:paraId="4AAF4CF9" w14:textId="77777777" w:rsidTr="000B24F3">
        <w:trPr>
          <w:trHeight w:val="80"/>
        </w:trPr>
        <w:tc>
          <w:tcPr>
            <w:tcW w:w="2268" w:type="dxa"/>
            <w:tcBorders>
              <w:top w:val="nil"/>
              <w:left w:val="nil"/>
              <w:bottom w:val="single" w:sz="4" w:space="0" w:color="auto"/>
              <w:right w:val="nil"/>
            </w:tcBorders>
            <w:shd w:val="clear" w:color="auto" w:fill="auto"/>
            <w:noWrap/>
            <w:vAlign w:val="center"/>
            <w:hideMark/>
          </w:tcPr>
          <w:p w14:paraId="644A2B06"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Sem Declaração</w:t>
            </w:r>
          </w:p>
        </w:tc>
        <w:tc>
          <w:tcPr>
            <w:tcW w:w="1276" w:type="dxa"/>
            <w:tcBorders>
              <w:top w:val="nil"/>
              <w:left w:val="nil"/>
              <w:bottom w:val="single" w:sz="4" w:space="0" w:color="auto"/>
              <w:right w:val="nil"/>
            </w:tcBorders>
            <w:shd w:val="clear" w:color="auto" w:fill="auto"/>
            <w:noWrap/>
            <w:vAlign w:val="center"/>
            <w:hideMark/>
          </w:tcPr>
          <w:p w14:paraId="0C6183D9"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w:t>
            </w:r>
          </w:p>
        </w:tc>
        <w:tc>
          <w:tcPr>
            <w:tcW w:w="940" w:type="dxa"/>
            <w:tcBorders>
              <w:top w:val="nil"/>
              <w:left w:val="nil"/>
              <w:bottom w:val="single" w:sz="4" w:space="0" w:color="auto"/>
              <w:right w:val="single" w:sz="4" w:space="0" w:color="auto"/>
            </w:tcBorders>
            <w:shd w:val="clear" w:color="auto" w:fill="auto"/>
            <w:noWrap/>
            <w:vAlign w:val="center"/>
            <w:hideMark/>
          </w:tcPr>
          <w:p w14:paraId="140BE4F7" w14:textId="77777777" w:rsidR="00977B76" w:rsidRPr="0088141F" w:rsidRDefault="00E94315"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716</w:t>
            </w:r>
          </w:p>
        </w:tc>
        <w:tc>
          <w:tcPr>
            <w:tcW w:w="1328" w:type="dxa"/>
            <w:tcBorders>
              <w:top w:val="nil"/>
              <w:left w:val="single" w:sz="4" w:space="0" w:color="auto"/>
              <w:bottom w:val="single" w:sz="4" w:space="0" w:color="auto"/>
              <w:right w:val="nil"/>
            </w:tcBorders>
            <w:shd w:val="clear" w:color="auto" w:fill="auto"/>
            <w:noWrap/>
            <w:vAlign w:val="bottom"/>
            <w:hideMark/>
          </w:tcPr>
          <w:p w14:paraId="275B95FF"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bottom"/>
            <w:hideMark/>
          </w:tcPr>
          <w:p w14:paraId="7F962F4D" w14:textId="77777777" w:rsidR="00977B76" w:rsidRPr="0088141F" w:rsidRDefault="00977B76" w:rsidP="00AF5703">
            <w:pPr>
              <w:spacing w:after="0" w:line="240" w:lineRule="auto"/>
              <w:rPr>
                <w:rFonts w:ascii="Times New Roman" w:eastAsia="Times New Roman" w:hAnsi="Times New Roman" w:cs="Times New Roman"/>
                <w:sz w:val="20"/>
                <w:szCs w:val="20"/>
              </w:rPr>
            </w:pPr>
          </w:p>
        </w:tc>
        <w:tc>
          <w:tcPr>
            <w:tcW w:w="1128" w:type="dxa"/>
            <w:tcBorders>
              <w:top w:val="nil"/>
              <w:left w:val="single" w:sz="4" w:space="0" w:color="auto"/>
              <w:bottom w:val="single" w:sz="4" w:space="0" w:color="auto"/>
              <w:right w:val="nil"/>
            </w:tcBorders>
            <w:shd w:val="clear" w:color="auto" w:fill="auto"/>
            <w:noWrap/>
            <w:vAlign w:val="bottom"/>
            <w:hideMark/>
          </w:tcPr>
          <w:p w14:paraId="3FA18ABE" w14:textId="77777777" w:rsidR="00977B76" w:rsidRPr="0088141F" w:rsidRDefault="00977B76" w:rsidP="00AF5703">
            <w:pPr>
              <w:spacing w:after="0" w:line="240" w:lineRule="auto"/>
              <w:rPr>
                <w:rFonts w:ascii="Times New Roman" w:eastAsia="Times New Roman" w:hAnsi="Times New Roman" w:cs="Times New Roman"/>
                <w:sz w:val="20"/>
                <w:szCs w:val="20"/>
              </w:rPr>
            </w:pPr>
          </w:p>
        </w:tc>
        <w:tc>
          <w:tcPr>
            <w:tcW w:w="864" w:type="dxa"/>
            <w:tcBorders>
              <w:top w:val="nil"/>
              <w:left w:val="nil"/>
              <w:bottom w:val="single" w:sz="4" w:space="0" w:color="auto"/>
              <w:right w:val="nil"/>
            </w:tcBorders>
            <w:shd w:val="clear" w:color="auto" w:fill="auto"/>
            <w:noWrap/>
            <w:vAlign w:val="bottom"/>
            <w:hideMark/>
          </w:tcPr>
          <w:p w14:paraId="335478E9" w14:textId="77777777" w:rsidR="00977B76" w:rsidRPr="0088141F" w:rsidRDefault="00977B76" w:rsidP="00AF5703">
            <w:pPr>
              <w:spacing w:after="0" w:line="240" w:lineRule="auto"/>
              <w:rPr>
                <w:rFonts w:ascii="Times New Roman" w:eastAsia="Times New Roman" w:hAnsi="Times New Roman" w:cs="Times New Roman"/>
                <w:sz w:val="20"/>
                <w:szCs w:val="20"/>
              </w:rPr>
            </w:pPr>
          </w:p>
        </w:tc>
      </w:tr>
      <w:tr w:rsidR="00977B76" w:rsidRPr="0088141F" w14:paraId="2B5A100D" w14:textId="77777777" w:rsidTr="000B24F3">
        <w:trPr>
          <w:trHeight w:val="70"/>
        </w:trPr>
        <w:tc>
          <w:tcPr>
            <w:tcW w:w="2268" w:type="dxa"/>
            <w:tcBorders>
              <w:top w:val="single" w:sz="4" w:space="0" w:color="auto"/>
              <w:left w:val="nil"/>
              <w:bottom w:val="single" w:sz="4" w:space="0" w:color="auto"/>
              <w:right w:val="nil"/>
            </w:tcBorders>
            <w:shd w:val="clear" w:color="auto" w:fill="auto"/>
            <w:noWrap/>
            <w:vAlign w:val="bottom"/>
            <w:hideMark/>
          </w:tcPr>
          <w:p w14:paraId="4228CD7D" w14:textId="77777777" w:rsidR="00977B76" w:rsidRPr="0088141F" w:rsidRDefault="00977B76" w:rsidP="00AF5703">
            <w:pPr>
              <w:spacing w:after="0" w:line="240" w:lineRule="auto"/>
              <w:jc w:val="center"/>
              <w:rPr>
                <w:rFonts w:ascii="Times New Roman" w:eastAsia="Times New Roman" w:hAnsi="Times New Roman" w:cs="Times New Roman"/>
                <w:b/>
                <w:sz w:val="20"/>
                <w:szCs w:val="20"/>
              </w:rPr>
            </w:pPr>
            <w:r w:rsidRPr="0088141F">
              <w:rPr>
                <w:rFonts w:ascii="Times New Roman" w:eastAsia="Times New Roman" w:hAnsi="Times New Roman" w:cs="Times New Roman"/>
                <w:b/>
                <w:sz w:val="20"/>
                <w:szCs w:val="20"/>
              </w:rPr>
              <w:t>Grupo de Área</w:t>
            </w:r>
          </w:p>
        </w:tc>
        <w:tc>
          <w:tcPr>
            <w:tcW w:w="6676" w:type="dxa"/>
            <w:gridSpan w:val="6"/>
            <w:tcBorders>
              <w:top w:val="single" w:sz="4" w:space="0" w:color="auto"/>
              <w:left w:val="nil"/>
              <w:bottom w:val="single" w:sz="4" w:space="0" w:color="auto"/>
              <w:right w:val="nil"/>
            </w:tcBorders>
            <w:shd w:val="clear" w:color="auto" w:fill="auto"/>
            <w:noWrap/>
            <w:vAlign w:val="bottom"/>
            <w:hideMark/>
          </w:tcPr>
          <w:p w14:paraId="326016DE" w14:textId="77777777" w:rsidR="00977B76" w:rsidRPr="0088141F" w:rsidRDefault="00977B76" w:rsidP="00AF5703">
            <w:pPr>
              <w:spacing w:after="0" w:line="240" w:lineRule="auto"/>
              <w:jc w:val="center"/>
              <w:rPr>
                <w:rFonts w:ascii="Times New Roman" w:eastAsia="Times New Roman" w:hAnsi="Times New Roman" w:cs="Times New Roman"/>
                <w:b/>
                <w:sz w:val="20"/>
                <w:szCs w:val="20"/>
              </w:rPr>
            </w:pPr>
            <w:r w:rsidRPr="0088141F">
              <w:rPr>
                <w:rFonts w:ascii="Times New Roman" w:eastAsia="Times New Roman" w:hAnsi="Times New Roman" w:cs="Times New Roman"/>
                <w:b/>
                <w:sz w:val="20"/>
                <w:szCs w:val="20"/>
              </w:rPr>
              <w:t>MATO GROSSO</w:t>
            </w:r>
          </w:p>
        </w:tc>
      </w:tr>
      <w:tr w:rsidR="00977B76" w:rsidRPr="0088141F" w14:paraId="7A200BC4" w14:textId="77777777" w:rsidTr="000B24F3">
        <w:trPr>
          <w:trHeight w:val="60"/>
        </w:trPr>
        <w:tc>
          <w:tcPr>
            <w:tcW w:w="2268" w:type="dxa"/>
            <w:tcBorders>
              <w:top w:val="single" w:sz="4" w:space="0" w:color="auto"/>
              <w:left w:val="nil"/>
              <w:bottom w:val="nil"/>
              <w:right w:val="nil"/>
            </w:tcBorders>
            <w:shd w:val="clear" w:color="auto" w:fill="auto"/>
            <w:noWrap/>
            <w:vAlign w:val="center"/>
            <w:hideMark/>
          </w:tcPr>
          <w:p w14:paraId="39268E8D" w14:textId="77777777" w:rsidR="00977B76" w:rsidRPr="0088141F" w:rsidRDefault="00977B76" w:rsidP="00AF5703">
            <w:pPr>
              <w:spacing w:after="0" w:line="240" w:lineRule="auto"/>
              <w:jc w:val="both"/>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Total</w:t>
            </w:r>
          </w:p>
        </w:tc>
        <w:tc>
          <w:tcPr>
            <w:tcW w:w="1276" w:type="dxa"/>
            <w:tcBorders>
              <w:top w:val="nil"/>
              <w:left w:val="nil"/>
              <w:bottom w:val="nil"/>
              <w:right w:val="nil"/>
            </w:tcBorders>
            <w:shd w:val="clear" w:color="auto" w:fill="auto"/>
            <w:noWrap/>
            <w:vAlign w:val="center"/>
            <w:hideMark/>
          </w:tcPr>
          <w:p w14:paraId="17378A2C"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112.987</w:t>
            </w:r>
          </w:p>
        </w:tc>
        <w:tc>
          <w:tcPr>
            <w:tcW w:w="940" w:type="dxa"/>
            <w:tcBorders>
              <w:top w:val="nil"/>
              <w:left w:val="nil"/>
              <w:bottom w:val="nil"/>
              <w:right w:val="single" w:sz="4" w:space="0" w:color="auto"/>
            </w:tcBorders>
            <w:shd w:val="clear" w:color="auto" w:fill="auto"/>
            <w:noWrap/>
            <w:vAlign w:val="center"/>
            <w:hideMark/>
          </w:tcPr>
          <w:p w14:paraId="48BC7062" w14:textId="77777777" w:rsidR="00977B76" w:rsidRPr="0088141F" w:rsidRDefault="00977B76" w:rsidP="00AA53C9">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118.6</w:t>
            </w:r>
            <w:r w:rsidR="00AA53C9" w:rsidRPr="0088141F">
              <w:rPr>
                <w:rFonts w:ascii="Times New Roman" w:eastAsia="Times New Roman" w:hAnsi="Times New Roman" w:cs="Times New Roman"/>
                <w:b/>
                <w:bCs/>
                <w:color w:val="000000"/>
                <w:sz w:val="20"/>
                <w:szCs w:val="20"/>
              </w:rPr>
              <w:t>79</w:t>
            </w:r>
          </w:p>
        </w:tc>
        <w:tc>
          <w:tcPr>
            <w:tcW w:w="1328" w:type="dxa"/>
            <w:tcBorders>
              <w:top w:val="single" w:sz="4" w:space="0" w:color="auto"/>
              <w:left w:val="single" w:sz="4" w:space="0" w:color="auto"/>
              <w:bottom w:val="nil"/>
              <w:right w:val="nil"/>
            </w:tcBorders>
            <w:shd w:val="clear" w:color="auto" w:fill="auto"/>
            <w:noWrap/>
            <w:vAlign w:val="center"/>
            <w:hideMark/>
          </w:tcPr>
          <w:p w14:paraId="00303480" w14:textId="77777777" w:rsidR="00977B76" w:rsidRPr="0088141F" w:rsidRDefault="00977B76" w:rsidP="00AF5703">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48.688.711</w:t>
            </w:r>
          </w:p>
        </w:tc>
        <w:tc>
          <w:tcPr>
            <w:tcW w:w="1140" w:type="dxa"/>
            <w:tcBorders>
              <w:top w:val="single" w:sz="4" w:space="0" w:color="auto"/>
              <w:left w:val="nil"/>
              <w:bottom w:val="nil"/>
              <w:right w:val="single" w:sz="4" w:space="0" w:color="auto"/>
            </w:tcBorders>
            <w:shd w:val="clear" w:color="auto" w:fill="auto"/>
            <w:noWrap/>
            <w:vAlign w:val="center"/>
            <w:hideMark/>
          </w:tcPr>
          <w:p w14:paraId="545ABE42" w14:textId="77777777" w:rsidR="00977B76" w:rsidRPr="0088141F" w:rsidRDefault="00977B76" w:rsidP="00E94315">
            <w:pPr>
              <w:spacing w:after="0" w:line="240" w:lineRule="auto"/>
              <w:jc w:val="center"/>
              <w:rPr>
                <w:rFonts w:ascii="Times New Roman" w:eastAsia="Times New Roman" w:hAnsi="Times New Roman" w:cs="Times New Roman"/>
                <w:b/>
                <w:bCs/>
                <w:color w:val="000000"/>
                <w:sz w:val="20"/>
                <w:szCs w:val="20"/>
              </w:rPr>
            </w:pPr>
            <w:r w:rsidRPr="0088141F">
              <w:rPr>
                <w:rFonts w:ascii="Times New Roman" w:eastAsia="Times New Roman" w:hAnsi="Times New Roman" w:cs="Times New Roman"/>
                <w:b/>
                <w:bCs/>
                <w:color w:val="000000"/>
                <w:sz w:val="20"/>
                <w:szCs w:val="20"/>
              </w:rPr>
              <w:t>54.</w:t>
            </w:r>
            <w:r w:rsidR="00E94315" w:rsidRPr="0088141F">
              <w:rPr>
                <w:rFonts w:ascii="Times New Roman" w:eastAsia="Times New Roman" w:hAnsi="Times New Roman" w:cs="Times New Roman"/>
                <w:b/>
                <w:bCs/>
                <w:color w:val="000000"/>
                <w:sz w:val="20"/>
                <w:szCs w:val="20"/>
              </w:rPr>
              <w:t>922</w:t>
            </w:r>
            <w:r w:rsidRPr="0088141F">
              <w:rPr>
                <w:rFonts w:ascii="Times New Roman" w:eastAsia="Times New Roman" w:hAnsi="Times New Roman" w:cs="Times New Roman"/>
                <w:b/>
                <w:bCs/>
                <w:color w:val="000000"/>
                <w:sz w:val="20"/>
                <w:szCs w:val="20"/>
              </w:rPr>
              <w:t>.8</w:t>
            </w:r>
            <w:r w:rsidR="00E94315" w:rsidRPr="0088141F">
              <w:rPr>
                <w:rFonts w:ascii="Times New Roman" w:eastAsia="Times New Roman" w:hAnsi="Times New Roman" w:cs="Times New Roman"/>
                <w:b/>
                <w:bCs/>
                <w:color w:val="000000"/>
                <w:sz w:val="20"/>
                <w:szCs w:val="20"/>
              </w:rPr>
              <w:t>50</w:t>
            </w:r>
          </w:p>
        </w:tc>
        <w:tc>
          <w:tcPr>
            <w:tcW w:w="1128" w:type="dxa"/>
            <w:tcBorders>
              <w:top w:val="single" w:sz="4" w:space="0" w:color="auto"/>
              <w:left w:val="single" w:sz="4" w:space="0" w:color="auto"/>
              <w:bottom w:val="nil"/>
              <w:right w:val="nil"/>
            </w:tcBorders>
            <w:shd w:val="clear" w:color="auto" w:fill="auto"/>
            <w:noWrap/>
            <w:vAlign w:val="bottom"/>
            <w:hideMark/>
          </w:tcPr>
          <w:p w14:paraId="3841C6D1" w14:textId="77777777" w:rsidR="00977B76" w:rsidRPr="0088141F" w:rsidRDefault="00977B76" w:rsidP="00AF5703">
            <w:pPr>
              <w:spacing w:after="0" w:line="240" w:lineRule="auto"/>
              <w:jc w:val="center"/>
              <w:rPr>
                <w:rFonts w:ascii="Times New Roman" w:eastAsia="Times New Roman" w:hAnsi="Times New Roman" w:cs="Times New Roman"/>
                <w:b/>
                <w:color w:val="000000"/>
                <w:sz w:val="20"/>
                <w:szCs w:val="20"/>
              </w:rPr>
            </w:pPr>
            <w:r w:rsidRPr="0088141F">
              <w:rPr>
                <w:rFonts w:ascii="Times New Roman" w:eastAsia="Times New Roman" w:hAnsi="Times New Roman" w:cs="Times New Roman"/>
                <w:b/>
                <w:color w:val="000000"/>
                <w:sz w:val="20"/>
                <w:szCs w:val="20"/>
              </w:rPr>
              <w:t>430,9</w:t>
            </w:r>
          </w:p>
        </w:tc>
        <w:tc>
          <w:tcPr>
            <w:tcW w:w="864" w:type="dxa"/>
            <w:tcBorders>
              <w:top w:val="single" w:sz="4" w:space="0" w:color="auto"/>
              <w:left w:val="nil"/>
              <w:bottom w:val="nil"/>
              <w:right w:val="nil"/>
            </w:tcBorders>
            <w:shd w:val="clear" w:color="auto" w:fill="auto"/>
            <w:noWrap/>
            <w:vAlign w:val="bottom"/>
            <w:hideMark/>
          </w:tcPr>
          <w:p w14:paraId="4E7503CF" w14:textId="77777777" w:rsidR="00977B76" w:rsidRPr="0088141F" w:rsidRDefault="00977B76" w:rsidP="00B32A38">
            <w:pPr>
              <w:spacing w:after="0" w:line="240" w:lineRule="auto"/>
              <w:jc w:val="center"/>
              <w:rPr>
                <w:rFonts w:ascii="Times New Roman" w:eastAsia="Times New Roman" w:hAnsi="Times New Roman" w:cs="Times New Roman"/>
                <w:b/>
                <w:color w:val="000000"/>
                <w:sz w:val="20"/>
                <w:szCs w:val="20"/>
              </w:rPr>
            </w:pPr>
            <w:r w:rsidRPr="0088141F">
              <w:rPr>
                <w:rFonts w:ascii="Times New Roman" w:eastAsia="Times New Roman" w:hAnsi="Times New Roman" w:cs="Times New Roman"/>
                <w:b/>
                <w:color w:val="000000"/>
                <w:sz w:val="20"/>
                <w:szCs w:val="20"/>
              </w:rPr>
              <w:t>462,</w:t>
            </w:r>
            <w:r w:rsidR="00B32A38" w:rsidRPr="0088141F">
              <w:rPr>
                <w:rFonts w:ascii="Times New Roman" w:eastAsia="Times New Roman" w:hAnsi="Times New Roman" w:cs="Times New Roman"/>
                <w:b/>
                <w:color w:val="000000"/>
                <w:sz w:val="20"/>
                <w:szCs w:val="20"/>
              </w:rPr>
              <w:t>8</w:t>
            </w:r>
          </w:p>
        </w:tc>
      </w:tr>
      <w:tr w:rsidR="00977B76" w:rsidRPr="0088141F" w14:paraId="0F922444" w14:textId="77777777" w:rsidTr="000B24F3">
        <w:trPr>
          <w:trHeight w:val="80"/>
        </w:trPr>
        <w:tc>
          <w:tcPr>
            <w:tcW w:w="2268" w:type="dxa"/>
            <w:tcBorders>
              <w:top w:val="nil"/>
              <w:left w:val="nil"/>
              <w:bottom w:val="nil"/>
              <w:right w:val="nil"/>
            </w:tcBorders>
            <w:shd w:val="clear" w:color="auto" w:fill="auto"/>
            <w:noWrap/>
            <w:vAlign w:val="center"/>
            <w:hideMark/>
          </w:tcPr>
          <w:p w14:paraId="3A7049CD"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Menos de 10 ha</w:t>
            </w:r>
          </w:p>
        </w:tc>
        <w:tc>
          <w:tcPr>
            <w:tcW w:w="1276" w:type="dxa"/>
            <w:tcBorders>
              <w:top w:val="nil"/>
              <w:left w:val="nil"/>
              <w:bottom w:val="nil"/>
              <w:right w:val="nil"/>
            </w:tcBorders>
            <w:shd w:val="clear" w:color="auto" w:fill="auto"/>
            <w:noWrap/>
            <w:vAlign w:val="center"/>
            <w:hideMark/>
          </w:tcPr>
          <w:p w14:paraId="00CC1106"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14.989</w:t>
            </w:r>
          </w:p>
        </w:tc>
        <w:tc>
          <w:tcPr>
            <w:tcW w:w="940" w:type="dxa"/>
            <w:tcBorders>
              <w:top w:val="nil"/>
              <w:left w:val="nil"/>
              <w:bottom w:val="nil"/>
              <w:right w:val="single" w:sz="4" w:space="0" w:color="auto"/>
            </w:tcBorders>
            <w:shd w:val="clear" w:color="auto" w:fill="auto"/>
            <w:noWrap/>
            <w:vAlign w:val="center"/>
            <w:hideMark/>
          </w:tcPr>
          <w:p w14:paraId="2FB5B499" w14:textId="77777777" w:rsidR="00977B76" w:rsidRPr="0088141F" w:rsidRDefault="00977B76" w:rsidP="00AA53C9">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17.9</w:t>
            </w:r>
            <w:r w:rsidR="00AA53C9" w:rsidRPr="0088141F">
              <w:rPr>
                <w:rFonts w:ascii="Times New Roman" w:eastAsia="Times New Roman" w:hAnsi="Times New Roman" w:cs="Times New Roman"/>
                <w:color w:val="000000"/>
                <w:sz w:val="20"/>
                <w:szCs w:val="20"/>
              </w:rPr>
              <w:t>27</w:t>
            </w:r>
          </w:p>
        </w:tc>
        <w:tc>
          <w:tcPr>
            <w:tcW w:w="1328" w:type="dxa"/>
            <w:tcBorders>
              <w:top w:val="nil"/>
              <w:left w:val="single" w:sz="4" w:space="0" w:color="auto"/>
              <w:bottom w:val="nil"/>
              <w:right w:val="nil"/>
            </w:tcBorders>
            <w:shd w:val="clear" w:color="auto" w:fill="auto"/>
            <w:noWrap/>
            <w:vAlign w:val="center"/>
            <w:hideMark/>
          </w:tcPr>
          <w:p w14:paraId="68DE2BDF"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58.610</w:t>
            </w:r>
          </w:p>
        </w:tc>
        <w:tc>
          <w:tcPr>
            <w:tcW w:w="1140" w:type="dxa"/>
            <w:tcBorders>
              <w:top w:val="nil"/>
              <w:left w:val="nil"/>
              <w:bottom w:val="nil"/>
              <w:right w:val="single" w:sz="4" w:space="0" w:color="auto"/>
            </w:tcBorders>
            <w:shd w:val="clear" w:color="auto" w:fill="auto"/>
            <w:noWrap/>
            <w:vAlign w:val="center"/>
            <w:hideMark/>
          </w:tcPr>
          <w:p w14:paraId="2E45EAA2"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67.5</w:t>
            </w:r>
            <w:r w:rsidR="00E94315" w:rsidRPr="0088141F">
              <w:rPr>
                <w:rFonts w:ascii="Times New Roman" w:eastAsia="Times New Roman" w:hAnsi="Times New Roman" w:cs="Times New Roman"/>
                <w:color w:val="000000"/>
                <w:sz w:val="20"/>
                <w:szCs w:val="20"/>
              </w:rPr>
              <w:t>99</w:t>
            </w:r>
          </w:p>
        </w:tc>
        <w:tc>
          <w:tcPr>
            <w:tcW w:w="1128" w:type="dxa"/>
            <w:tcBorders>
              <w:top w:val="nil"/>
              <w:left w:val="single" w:sz="4" w:space="0" w:color="auto"/>
              <w:bottom w:val="nil"/>
              <w:right w:val="nil"/>
            </w:tcBorders>
            <w:shd w:val="clear" w:color="auto" w:fill="auto"/>
            <w:noWrap/>
            <w:vAlign w:val="bottom"/>
            <w:hideMark/>
          </w:tcPr>
          <w:p w14:paraId="4B471820"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3,9</w:t>
            </w:r>
          </w:p>
        </w:tc>
        <w:tc>
          <w:tcPr>
            <w:tcW w:w="864" w:type="dxa"/>
            <w:tcBorders>
              <w:top w:val="nil"/>
              <w:left w:val="nil"/>
              <w:bottom w:val="nil"/>
              <w:right w:val="nil"/>
            </w:tcBorders>
            <w:shd w:val="clear" w:color="auto" w:fill="auto"/>
            <w:noWrap/>
            <w:vAlign w:val="bottom"/>
            <w:hideMark/>
          </w:tcPr>
          <w:p w14:paraId="01756436"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w:t>
            </w:r>
            <w:r w:rsidR="00B32A38" w:rsidRPr="0088141F">
              <w:rPr>
                <w:rFonts w:ascii="Times New Roman" w:eastAsia="Times New Roman" w:hAnsi="Times New Roman" w:cs="Times New Roman"/>
                <w:color w:val="000000"/>
                <w:sz w:val="20"/>
                <w:szCs w:val="20"/>
              </w:rPr>
              <w:t>8</w:t>
            </w:r>
          </w:p>
        </w:tc>
      </w:tr>
      <w:tr w:rsidR="00977B76" w:rsidRPr="0088141F" w14:paraId="3CB2DBBB" w14:textId="77777777" w:rsidTr="000B24F3">
        <w:trPr>
          <w:trHeight w:val="80"/>
        </w:trPr>
        <w:tc>
          <w:tcPr>
            <w:tcW w:w="2268" w:type="dxa"/>
            <w:tcBorders>
              <w:top w:val="nil"/>
              <w:left w:val="nil"/>
              <w:bottom w:val="nil"/>
              <w:right w:val="nil"/>
            </w:tcBorders>
            <w:shd w:val="clear" w:color="auto" w:fill="auto"/>
            <w:noWrap/>
            <w:vAlign w:val="center"/>
            <w:hideMark/>
          </w:tcPr>
          <w:p w14:paraId="74860477"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10 a menos de 100 ha</w:t>
            </w:r>
          </w:p>
        </w:tc>
        <w:tc>
          <w:tcPr>
            <w:tcW w:w="1276" w:type="dxa"/>
            <w:tcBorders>
              <w:top w:val="nil"/>
              <w:left w:val="nil"/>
              <w:bottom w:val="nil"/>
              <w:right w:val="nil"/>
            </w:tcBorders>
            <w:shd w:val="clear" w:color="auto" w:fill="auto"/>
            <w:noWrap/>
            <w:vAlign w:val="center"/>
            <w:hideMark/>
          </w:tcPr>
          <w:p w14:paraId="546644AD"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61.781</w:t>
            </w:r>
          </w:p>
        </w:tc>
        <w:tc>
          <w:tcPr>
            <w:tcW w:w="940" w:type="dxa"/>
            <w:tcBorders>
              <w:top w:val="nil"/>
              <w:left w:val="nil"/>
              <w:bottom w:val="nil"/>
              <w:right w:val="single" w:sz="4" w:space="0" w:color="auto"/>
            </w:tcBorders>
            <w:shd w:val="clear" w:color="auto" w:fill="auto"/>
            <w:noWrap/>
            <w:vAlign w:val="center"/>
            <w:hideMark/>
          </w:tcPr>
          <w:p w14:paraId="7265713E" w14:textId="77777777" w:rsidR="00977B76" w:rsidRPr="0088141F" w:rsidRDefault="00977B76" w:rsidP="00AA53C9">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63.60</w:t>
            </w:r>
            <w:r w:rsidR="00AA53C9" w:rsidRPr="0088141F">
              <w:rPr>
                <w:rFonts w:ascii="Times New Roman" w:eastAsia="Times New Roman" w:hAnsi="Times New Roman" w:cs="Times New Roman"/>
                <w:color w:val="000000"/>
                <w:sz w:val="20"/>
                <w:szCs w:val="20"/>
              </w:rPr>
              <w:t>1</w:t>
            </w:r>
          </w:p>
        </w:tc>
        <w:tc>
          <w:tcPr>
            <w:tcW w:w="1328" w:type="dxa"/>
            <w:tcBorders>
              <w:top w:val="nil"/>
              <w:left w:val="single" w:sz="4" w:space="0" w:color="auto"/>
              <w:bottom w:val="nil"/>
              <w:right w:val="nil"/>
            </w:tcBorders>
            <w:shd w:val="clear" w:color="auto" w:fill="auto"/>
            <w:noWrap/>
            <w:vAlign w:val="center"/>
            <w:hideMark/>
          </w:tcPr>
          <w:p w14:paraId="38B653E8"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2.582.558</w:t>
            </w:r>
          </w:p>
        </w:tc>
        <w:tc>
          <w:tcPr>
            <w:tcW w:w="1140" w:type="dxa"/>
            <w:tcBorders>
              <w:top w:val="nil"/>
              <w:left w:val="nil"/>
              <w:bottom w:val="nil"/>
              <w:right w:val="single" w:sz="4" w:space="0" w:color="auto"/>
            </w:tcBorders>
            <w:shd w:val="clear" w:color="auto" w:fill="auto"/>
            <w:noWrap/>
            <w:vAlign w:val="center"/>
            <w:hideMark/>
          </w:tcPr>
          <w:p w14:paraId="45BDB2D6"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2.683.</w:t>
            </w:r>
            <w:r w:rsidR="00E94315" w:rsidRPr="0088141F">
              <w:rPr>
                <w:rFonts w:ascii="Times New Roman" w:eastAsia="Times New Roman" w:hAnsi="Times New Roman" w:cs="Times New Roman"/>
                <w:color w:val="000000"/>
                <w:sz w:val="20"/>
                <w:szCs w:val="20"/>
              </w:rPr>
              <w:t>632</w:t>
            </w:r>
          </w:p>
        </w:tc>
        <w:tc>
          <w:tcPr>
            <w:tcW w:w="1128" w:type="dxa"/>
            <w:tcBorders>
              <w:top w:val="nil"/>
              <w:left w:val="single" w:sz="4" w:space="0" w:color="auto"/>
              <w:bottom w:val="nil"/>
              <w:right w:val="nil"/>
            </w:tcBorders>
            <w:shd w:val="clear" w:color="auto" w:fill="auto"/>
            <w:noWrap/>
            <w:vAlign w:val="bottom"/>
            <w:hideMark/>
          </w:tcPr>
          <w:p w14:paraId="1982A77E"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41,8</w:t>
            </w:r>
          </w:p>
        </w:tc>
        <w:tc>
          <w:tcPr>
            <w:tcW w:w="864" w:type="dxa"/>
            <w:tcBorders>
              <w:top w:val="nil"/>
              <w:left w:val="nil"/>
              <w:bottom w:val="nil"/>
              <w:right w:val="nil"/>
            </w:tcBorders>
            <w:shd w:val="clear" w:color="auto" w:fill="auto"/>
            <w:noWrap/>
            <w:vAlign w:val="bottom"/>
            <w:hideMark/>
          </w:tcPr>
          <w:p w14:paraId="446047E4"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42,2</w:t>
            </w:r>
          </w:p>
        </w:tc>
      </w:tr>
      <w:tr w:rsidR="00977B76" w:rsidRPr="0088141F" w14:paraId="339CEC3C" w14:textId="77777777" w:rsidTr="000B24F3">
        <w:trPr>
          <w:trHeight w:val="80"/>
        </w:trPr>
        <w:tc>
          <w:tcPr>
            <w:tcW w:w="2268" w:type="dxa"/>
            <w:tcBorders>
              <w:top w:val="nil"/>
              <w:left w:val="nil"/>
              <w:bottom w:val="nil"/>
              <w:right w:val="nil"/>
            </w:tcBorders>
            <w:shd w:val="clear" w:color="auto" w:fill="auto"/>
            <w:noWrap/>
            <w:vAlign w:val="center"/>
            <w:hideMark/>
          </w:tcPr>
          <w:p w14:paraId="34A46FF9"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100 a menos de 1.000 ha</w:t>
            </w:r>
          </w:p>
        </w:tc>
        <w:tc>
          <w:tcPr>
            <w:tcW w:w="1276" w:type="dxa"/>
            <w:tcBorders>
              <w:top w:val="nil"/>
              <w:left w:val="nil"/>
              <w:bottom w:val="nil"/>
              <w:right w:val="nil"/>
            </w:tcBorders>
            <w:shd w:val="clear" w:color="auto" w:fill="auto"/>
            <w:noWrap/>
            <w:vAlign w:val="center"/>
            <w:hideMark/>
          </w:tcPr>
          <w:p w14:paraId="23687189"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26.457</w:t>
            </w:r>
          </w:p>
        </w:tc>
        <w:tc>
          <w:tcPr>
            <w:tcW w:w="940" w:type="dxa"/>
            <w:tcBorders>
              <w:top w:val="nil"/>
              <w:left w:val="nil"/>
              <w:bottom w:val="nil"/>
              <w:right w:val="single" w:sz="4" w:space="0" w:color="auto"/>
            </w:tcBorders>
            <w:shd w:val="clear" w:color="auto" w:fill="auto"/>
            <w:noWrap/>
            <w:vAlign w:val="center"/>
            <w:hideMark/>
          </w:tcPr>
          <w:p w14:paraId="78D85295" w14:textId="77777777" w:rsidR="00977B76" w:rsidRPr="0088141F" w:rsidRDefault="00977B76" w:rsidP="00AA53C9">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27.3</w:t>
            </w:r>
            <w:r w:rsidR="00AA53C9" w:rsidRPr="0088141F">
              <w:rPr>
                <w:rFonts w:ascii="Times New Roman" w:eastAsia="Times New Roman" w:hAnsi="Times New Roman" w:cs="Times New Roman"/>
                <w:color w:val="000000"/>
                <w:sz w:val="20"/>
                <w:szCs w:val="20"/>
              </w:rPr>
              <w:t>80</w:t>
            </w:r>
          </w:p>
        </w:tc>
        <w:tc>
          <w:tcPr>
            <w:tcW w:w="1328" w:type="dxa"/>
            <w:tcBorders>
              <w:top w:val="nil"/>
              <w:left w:val="single" w:sz="4" w:space="0" w:color="auto"/>
              <w:bottom w:val="nil"/>
              <w:right w:val="nil"/>
            </w:tcBorders>
            <w:shd w:val="clear" w:color="auto" w:fill="auto"/>
            <w:noWrap/>
            <w:vAlign w:val="center"/>
            <w:hideMark/>
          </w:tcPr>
          <w:p w14:paraId="1DE518B7"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8.102.689</w:t>
            </w:r>
          </w:p>
        </w:tc>
        <w:tc>
          <w:tcPr>
            <w:tcW w:w="1140" w:type="dxa"/>
            <w:tcBorders>
              <w:top w:val="nil"/>
              <w:left w:val="nil"/>
              <w:bottom w:val="nil"/>
              <w:right w:val="single" w:sz="4" w:space="0" w:color="auto"/>
            </w:tcBorders>
            <w:shd w:val="clear" w:color="auto" w:fill="auto"/>
            <w:noWrap/>
            <w:vAlign w:val="center"/>
            <w:hideMark/>
          </w:tcPr>
          <w:p w14:paraId="78F1DE3F"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8.1</w:t>
            </w:r>
            <w:r w:rsidR="00E94315" w:rsidRPr="0088141F">
              <w:rPr>
                <w:rFonts w:ascii="Times New Roman" w:eastAsia="Times New Roman" w:hAnsi="Times New Roman" w:cs="Times New Roman"/>
                <w:color w:val="000000"/>
                <w:sz w:val="20"/>
                <w:szCs w:val="20"/>
              </w:rPr>
              <w:t>75</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250</w:t>
            </w:r>
          </w:p>
        </w:tc>
        <w:tc>
          <w:tcPr>
            <w:tcW w:w="1128" w:type="dxa"/>
            <w:tcBorders>
              <w:top w:val="nil"/>
              <w:left w:val="single" w:sz="4" w:space="0" w:color="auto"/>
              <w:bottom w:val="nil"/>
              <w:right w:val="nil"/>
            </w:tcBorders>
            <w:shd w:val="clear" w:color="auto" w:fill="auto"/>
            <w:noWrap/>
            <w:vAlign w:val="bottom"/>
            <w:hideMark/>
          </w:tcPr>
          <w:p w14:paraId="71E818CF"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306,2</w:t>
            </w:r>
          </w:p>
        </w:tc>
        <w:tc>
          <w:tcPr>
            <w:tcW w:w="864" w:type="dxa"/>
            <w:tcBorders>
              <w:top w:val="nil"/>
              <w:left w:val="nil"/>
              <w:bottom w:val="nil"/>
              <w:right w:val="nil"/>
            </w:tcBorders>
            <w:shd w:val="clear" w:color="auto" w:fill="auto"/>
            <w:noWrap/>
            <w:vAlign w:val="bottom"/>
            <w:hideMark/>
          </w:tcPr>
          <w:p w14:paraId="700CBC33"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298,</w:t>
            </w:r>
            <w:r w:rsidR="00B32A38" w:rsidRPr="0088141F">
              <w:rPr>
                <w:rFonts w:ascii="Times New Roman" w:eastAsia="Times New Roman" w:hAnsi="Times New Roman" w:cs="Times New Roman"/>
                <w:color w:val="000000"/>
                <w:sz w:val="20"/>
                <w:szCs w:val="20"/>
              </w:rPr>
              <w:t>6</w:t>
            </w:r>
          </w:p>
        </w:tc>
      </w:tr>
      <w:tr w:rsidR="00977B76" w:rsidRPr="0088141F" w14:paraId="3A28C315" w14:textId="77777777" w:rsidTr="000B24F3">
        <w:trPr>
          <w:trHeight w:val="80"/>
        </w:trPr>
        <w:tc>
          <w:tcPr>
            <w:tcW w:w="2268" w:type="dxa"/>
            <w:tcBorders>
              <w:top w:val="nil"/>
              <w:left w:val="nil"/>
              <w:right w:val="nil"/>
            </w:tcBorders>
            <w:shd w:val="clear" w:color="auto" w:fill="auto"/>
            <w:noWrap/>
            <w:vAlign w:val="center"/>
            <w:hideMark/>
          </w:tcPr>
          <w:p w14:paraId="261F8F71"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De 1.000 e mais</w:t>
            </w:r>
          </w:p>
        </w:tc>
        <w:tc>
          <w:tcPr>
            <w:tcW w:w="1276" w:type="dxa"/>
            <w:tcBorders>
              <w:top w:val="nil"/>
              <w:left w:val="nil"/>
              <w:right w:val="nil"/>
            </w:tcBorders>
            <w:shd w:val="clear" w:color="auto" w:fill="auto"/>
            <w:noWrap/>
            <w:vAlign w:val="center"/>
            <w:hideMark/>
          </w:tcPr>
          <w:p w14:paraId="23CEAD22"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8.744</w:t>
            </w:r>
          </w:p>
        </w:tc>
        <w:tc>
          <w:tcPr>
            <w:tcW w:w="940" w:type="dxa"/>
            <w:tcBorders>
              <w:top w:val="nil"/>
              <w:left w:val="nil"/>
              <w:right w:val="single" w:sz="4" w:space="0" w:color="auto"/>
            </w:tcBorders>
            <w:shd w:val="clear" w:color="auto" w:fill="auto"/>
            <w:noWrap/>
            <w:vAlign w:val="center"/>
            <w:hideMark/>
          </w:tcPr>
          <w:p w14:paraId="4AD4A4FA" w14:textId="77777777" w:rsidR="00977B76" w:rsidRPr="0088141F" w:rsidRDefault="00977B76" w:rsidP="00AA53C9">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9.</w:t>
            </w:r>
            <w:r w:rsidR="00AA53C9" w:rsidRPr="0088141F">
              <w:rPr>
                <w:rFonts w:ascii="Times New Roman" w:eastAsia="Times New Roman" w:hAnsi="Times New Roman" w:cs="Times New Roman"/>
                <w:color w:val="000000"/>
                <w:sz w:val="20"/>
                <w:szCs w:val="20"/>
              </w:rPr>
              <w:t>525</w:t>
            </w:r>
          </w:p>
        </w:tc>
        <w:tc>
          <w:tcPr>
            <w:tcW w:w="1328" w:type="dxa"/>
            <w:tcBorders>
              <w:top w:val="nil"/>
              <w:left w:val="single" w:sz="4" w:space="0" w:color="auto"/>
              <w:right w:val="nil"/>
            </w:tcBorders>
            <w:shd w:val="clear" w:color="auto" w:fill="auto"/>
            <w:noWrap/>
            <w:vAlign w:val="center"/>
            <w:hideMark/>
          </w:tcPr>
          <w:p w14:paraId="5AC9EA6D"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37.944.854</w:t>
            </w:r>
          </w:p>
        </w:tc>
        <w:tc>
          <w:tcPr>
            <w:tcW w:w="1140" w:type="dxa"/>
            <w:tcBorders>
              <w:top w:val="nil"/>
              <w:left w:val="nil"/>
              <w:right w:val="single" w:sz="4" w:space="0" w:color="auto"/>
            </w:tcBorders>
            <w:shd w:val="clear" w:color="auto" w:fill="auto"/>
            <w:noWrap/>
            <w:vAlign w:val="center"/>
            <w:hideMark/>
          </w:tcPr>
          <w:p w14:paraId="0F334F1D" w14:textId="77777777" w:rsidR="00977B76" w:rsidRPr="0088141F" w:rsidRDefault="00977B76" w:rsidP="00E94315">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43.9</w:t>
            </w:r>
            <w:r w:rsidR="00E94315" w:rsidRPr="0088141F">
              <w:rPr>
                <w:rFonts w:ascii="Times New Roman" w:eastAsia="Times New Roman" w:hAnsi="Times New Roman" w:cs="Times New Roman"/>
                <w:color w:val="000000"/>
                <w:sz w:val="20"/>
                <w:szCs w:val="20"/>
              </w:rPr>
              <w:t>96</w:t>
            </w:r>
            <w:r w:rsidRPr="0088141F">
              <w:rPr>
                <w:rFonts w:ascii="Times New Roman" w:eastAsia="Times New Roman" w:hAnsi="Times New Roman" w:cs="Times New Roman"/>
                <w:color w:val="000000"/>
                <w:sz w:val="20"/>
                <w:szCs w:val="20"/>
              </w:rPr>
              <w:t>.</w:t>
            </w:r>
            <w:r w:rsidR="00E94315" w:rsidRPr="0088141F">
              <w:rPr>
                <w:rFonts w:ascii="Times New Roman" w:eastAsia="Times New Roman" w:hAnsi="Times New Roman" w:cs="Times New Roman"/>
                <w:color w:val="000000"/>
                <w:sz w:val="20"/>
                <w:szCs w:val="20"/>
              </w:rPr>
              <w:t>370</w:t>
            </w:r>
          </w:p>
        </w:tc>
        <w:tc>
          <w:tcPr>
            <w:tcW w:w="1128" w:type="dxa"/>
            <w:tcBorders>
              <w:top w:val="nil"/>
              <w:left w:val="single" w:sz="4" w:space="0" w:color="auto"/>
              <w:right w:val="nil"/>
            </w:tcBorders>
            <w:shd w:val="clear" w:color="auto" w:fill="auto"/>
            <w:noWrap/>
            <w:vAlign w:val="bottom"/>
            <w:hideMark/>
          </w:tcPr>
          <w:p w14:paraId="3E6EB426"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4.339,5</w:t>
            </w:r>
          </w:p>
        </w:tc>
        <w:tc>
          <w:tcPr>
            <w:tcW w:w="864" w:type="dxa"/>
            <w:tcBorders>
              <w:top w:val="nil"/>
              <w:left w:val="nil"/>
              <w:right w:val="nil"/>
            </w:tcBorders>
            <w:shd w:val="clear" w:color="auto" w:fill="auto"/>
            <w:noWrap/>
            <w:vAlign w:val="bottom"/>
            <w:hideMark/>
          </w:tcPr>
          <w:p w14:paraId="3801DA84" w14:textId="77777777" w:rsidR="00977B76" w:rsidRPr="0088141F" w:rsidRDefault="00977B76" w:rsidP="00B32A38">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4.6</w:t>
            </w:r>
            <w:r w:rsidR="00B32A38" w:rsidRPr="0088141F">
              <w:rPr>
                <w:rFonts w:ascii="Times New Roman" w:eastAsia="Times New Roman" w:hAnsi="Times New Roman" w:cs="Times New Roman"/>
                <w:color w:val="000000"/>
                <w:sz w:val="20"/>
                <w:szCs w:val="20"/>
              </w:rPr>
              <w:t>19</w:t>
            </w:r>
            <w:r w:rsidRPr="0088141F">
              <w:rPr>
                <w:rFonts w:ascii="Times New Roman" w:eastAsia="Times New Roman" w:hAnsi="Times New Roman" w:cs="Times New Roman"/>
                <w:color w:val="000000"/>
                <w:sz w:val="20"/>
                <w:szCs w:val="20"/>
              </w:rPr>
              <w:t>,</w:t>
            </w:r>
            <w:r w:rsidR="00B32A38" w:rsidRPr="0088141F">
              <w:rPr>
                <w:rFonts w:ascii="Times New Roman" w:eastAsia="Times New Roman" w:hAnsi="Times New Roman" w:cs="Times New Roman"/>
                <w:color w:val="000000"/>
                <w:sz w:val="20"/>
                <w:szCs w:val="20"/>
              </w:rPr>
              <w:t>0</w:t>
            </w:r>
          </w:p>
        </w:tc>
      </w:tr>
      <w:tr w:rsidR="00977B76" w:rsidRPr="0088141F" w14:paraId="7212122C" w14:textId="77777777" w:rsidTr="000B24F3">
        <w:trPr>
          <w:trHeight w:val="80"/>
        </w:trPr>
        <w:tc>
          <w:tcPr>
            <w:tcW w:w="2268" w:type="dxa"/>
            <w:tcBorders>
              <w:top w:val="nil"/>
              <w:left w:val="nil"/>
              <w:bottom w:val="single" w:sz="4" w:space="0" w:color="auto"/>
              <w:right w:val="nil"/>
            </w:tcBorders>
            <w:shd w:val="clear" w:color="auto" w:fill="auto"/>
            <w:noWrap/>
            <w:vAlign w:val="center"/>
            <w:hideMark/>
          </w:tcPr>
          <w:p w14:paraId="48D0E142" w14:textId="77777777" w:rsidR="00977B76" w:rsidRPr="0088141F" w:rsidRDefault="00977B76" w:rsidP="00AF5703">
            <w:pPr>
              <w:spacing w:after="0" w:line="240" w:lineRule="auto"/>
              <w:jc w:val="both"/>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Sem Declaração</w:t>
            </w:r>
          </w:p>
        </w:tc>
        <w:tc>
          <w:tcPr>
            <w:tcW w:w="1276" w:type="dxa"/>
            <w:tcBorders>
              <w:top w:val="nil"/>
              <w:left w:val="nil"/>
              <w:bottom w:val="single" w:sz="4" w:space="0" w:color="auto"/>
              <w:right w:val="nil"/>
            </w:tcBorders>
            <w:shd w:val="clear" w:color="auto" w:fill="auto"/>
            <w:noWrap/>
            <w:vAlign w:val="center"/>
            <w:hideMark/>
          </w:tcPr>
          <w:p w14:paraId="105E78A5"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w:t>
            </w:r>
          </w:p>
        </w:tc>
        <w:tc>
          <w:tcPr>
            <w:tcW w:w="940" w:type="dxa"/>
            <w:tcBorders>
              <w:top w:val="nil"/>
              <w:left w:val="nil"/>
              <w:bottom w:val="single" w:sz="4" w:space="0" w:color="auto"/>
              <w:right w:val="single" w:sz="4" w:space="0" w:color="auto"/>
            </w:tcBorders>
            <w:shd w:val="clear" w:color="auto" w:fill="auto"/>
            <w:noWrap/>
            <w:vAlign w:val="center"/>
            <w:hideMark/>
          </w:tcPr>
          <w:p w14:paraId="1347195A" w14:textId="77777777" w:rsidR="00977B76" w:rsidRPr="0088141F" w:rsidRDefault="00977B76" w:rsidP="00AA53C9">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2</w:t>
            </w:r>
            <w:r w:rsidR="00AA53C9" w:rsidRPr="0088141F">
              <w:rPr>
                <w:rFonts w:ascii="Times New Roman" w:eastAsia="Times New Roman" w:hAnsi="Times New Roman" w:cs="Times New Roman"/>
                <w:color w:val="000000"/>
                <w:sz w:val="20"/>
                <w:szCs w:val="20"/>
              </w:rPr>
              <w:t>46</w:t>
            </w:r>
          </w:p>
        </w:tc>
        <w:tc>
          <w:tcPr>
            <w:tcW w:w="1328" w:type="dxa"/>
            <w:tcBorders>
              <w:top w:val="nil"/>
              <w:left w:val="single" w:sz="4" w:space="0" w:color="auto"/>
              <w:bottom w:val="single" w:sz="4" w:space="0" w:color="auto"/>
              <w:right w:val="nil"/>
            </w:tcBorders>
            <w:shd w:val="clear" w:color="auto" w:fill="auto"/>
            <w:noWrap/>
            <w:vAlign w:val="bottom"/>
            <w:hideMark/>
          </w:tcPr>
          <w:p w14:paraId="29A44925" w14:textId="77777777" w:rsidR="00977B76" w:rsidRPr="0088141F" w:rsidRDefault="00977B76" w:rsidP="00AF5703">
            <w:pPr>
              <w:spacing w:after="0" w:line="240" w:lineRule="auto"/>
              <w:jc w:val="center"/>
              <w:rPr>
                <w:rFonts w:ascii="Times New Roman" w:eastAsia="Times New Roman" w:hAnsi="Times New Roman" w:cs="Times New Roman"/>
                <w:color w:val="000000"/>
                <w:sz w:val="20"/>
                <w:szCs w:val="20"/>
              </w:rPr>
            </w:pPr>
            <w:r w:rsidRPr="0088141F">
              <w:rPr>
                <w:rFonts w:ascii="Times New Roman" w:eastAsia="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1E96D3CE" w14:textId="77777777" w:rsidR="00977B76" w:rsidRPr="0088141F" w:rsidRDefault="00977B76" w:rsidP="00AF5703">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28" w:type="dxa"/>
            <w:tcBorders>
              <w:top w:val="nil"/>
              <w:left w:val="single" w:sz="4" w:space="0" w:color="auto"/>
              <w:bottom w:val="single" w:sz="4" w:space="0" w:color="auto"/>
              <w:right w:val="nil"/>
            </w:tcBorders>
            <w:shd w:val="clear" w:color="auto" w:fill="auto"/>
            <w:noWrap/>
            <w:vAlign w:val="bottom"/>
            <w:hideMark/>
          </w:tcPr>
          <w:p w14:paraId="1B4844A1" w14:textId="77777777" w:rsidR="00977B76" w:rsidRPr="0088141F" w:rsidRDefault="00977B76" w:rsidP="00AF5703">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864" w:type="dxa"/>
            <w:tcBorders>
              <w:top w:val="nil"/>
              <w:left w:val="nil"/>
              <w:bottom w:val="single" w:sz="4" w:space="0" w:color="auto"/>
              <w:right w:val="nil"/>
            </w:tcBorders>
            <w:shd w:val="clear" w:color="auto" w:fill="auto"/>
            <w:noWrap/>
            <w:vAlign w:val="bottom"/>
            <w:hideMark/>
          </w:tcPr>
          <w:p w14:paraId="3E7D9035" w14:textId="77777777" w:rsidR="00977B76" w:rsidRPr="0088141F" w:rsidRDefault="00977B76" w:rsidP="00AF5703">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r>
    </w:tbl>
    <w:p w14:paraId="3A5028C8" w14:textId="77777777" w:rsidR="00977B76" w:rsidRPr="0088141F" w:rsidRDefault="00977B76" w:rsidP="00AF5703">
      <w:pPr>
        <w:spacing w:after="0" w:line="240" w:lineRule="auto"/>
        <w:jc w:val="both"/>
        <w:rPr>
          <w:rFonts w:ascii="Times New Roman" w:hAnsi="Times New Roman" w:cs="Times New Roman"/>
        </w:rPr>
      </w:pPr>
      <w:r w:rsidRPr="0088141F">
        <w:rPr>
          <w:rFonts w:ascii="Times New Roman" w:hAnsi="Times New Roman" w:cs="Times New Roman"/>
          <w:b/>
        </w:rPr>
        <w:t>Fonte:</w:t>
      </w:r>
      <w:r w:rsidRPr="0088141F">
        <w:rPr>
          <w:rFonts w:ascii="Times New Roman" w:hAnsi="Times New Roman" w:cs="Times New Roman"/>
        </w:rPr>
        <w:t xml:space="preserve"> IBGE. Censo Agropecuário 2006; </w:t>
      </w:r>
      <w:r w:rsidR="00B32A38" w:rsidRPr="0088141F">
        <w:rPr>
          <w:rFonts w:ascii="Times New Roman" w:hAnsi="Times New Roman" w:cs="Times New Roman"/>
        </w:rPr>
        <w:t>2017.</w:t>
      </w:r>
    </w:p>
    <w:p w14:paraId="303951CE" w14:textId="77777777" w:rsidR="00AF5703" w:rsidRPr="004316DE" w:rsidRDefault="00AF5703" w:rsidP="00AF5703">
      <w:pPr>
        <w:spacing w:after="0" w:line="240" w:lineRule="auto"/>
        <w:ind w:firstLine="708"/>
        <w:jc w:val="both"/>
        <w:rPr>
          <w:rFonts w:ascii="Times New Roman" w:hAnsi="Times New Roman" w:cs="Times New Roman"/>
        </w:rPr>
      </w:pPr>
    </w:p>
    <w:p w14:paraId="22041AD0"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Enquanto, no Brasil, o número de estabelecimentos rurais foi reduzido em 2%, entre 2006 e 2017, no Centro-Oeste e em Mato Grosso, ocorreram crescimentos de </w:t>
      </w:r>
      <w:r w:rsidR="00B32A38" w:rsidRPr="0088141F">
        <w:rPr>
          <w:rFonts w:ascii="Times New Roman" w:hAnsi="Times New Roman" w:cs="Times New Roman"/>
          <w:sz w:val="24"/>
          <w:szCs w:val="24"/>
        </w:rPr>
        <w:t>7</w:t>
      </w:r>
      <w:r w:rsidRPr="0088141F">
        <w:rPr>
          <w:rFonts w:ascii="Times New Roman" w:hAnsi="Times New Roman" w:cs="Times New Roman"/>
          <w:sz w:val="24"/>
          <w:szCs w:val="24"/>
        </w:rPr>
        <w:t>,</w:t>
      </w:r>
      <w:r w:rsidR="00B32A38" w:rsidRPr="0088141F">
        <w:rPr>
          <w:rFonts w:ascii="Times New Roman" w:hAnsi="Times New Roman" w:cs="Times New Roman"/>
          <w:sz w:val="24"/>
          <w:szCs w:val="24"/>
        </w:rPr>
        <w:t>7</w:t>
      </w:r>
      <w:r w:rsidRPr="0088141F">
        <w:rPr>
          <w:rFonts w:ascii="Times New Roman" w:hAnsi="Times New Roman" w:cs="Times New Roman"/>
          <w:sz w:val="24"/>
          <w:szCs w:val="24"/>
        </w:rPr>
        <w:t xml:space="preserve">% e 5%, respectivamente. No Centro-Oeste, apenas no grupo de </w:t>
      </w:r>
      <w:r w:rsidR="00227537" w:rsidRPr="0088141F">
        <w:rPr>
          <w:rFonts w:ascii="Times New Roman" w:hAnsi="Times New Roman" w:cs="Times New Roman"/>
          <w:sz w:val="24"/>
          <w:szCs w:val="24"/>
        </w:rPr>
        <w:t xml:space="preserve">100 a menos de </w:t>
      </w:r>
      <w:r w:rsidRPr="0088141F">
        <w:rPr>
          <w:rFonts w:ascii="Times New Roman" w:hAnsi="Times New Roman" w:cs="Times New Roman"/>
          <w:sz w:val="24"/>
          <w:szCs w:val="24"/>
        </w:rPr>
        <w:t>1.000 hectares ocorreu uma redução d</w:t>
      </w:r>
      <w:r w:rsidR="00B32A38" w:rsidRPr="0088141F">
        <w:rPr>
          <w:rFonts w:ascii="Times New Roman" w:hAnsi="Times New Roman" w:cs="Times New Roman"/>
          <w:sz w:val="24"/>
          <w:szCs w:val="24"/>
        </w:rPr>
        <w:t>o número de estabelecimento</w:t>
      </w:r>
      <w:r w:rsidRPr="0088141F">
        <w:rPr>
          <w:rFonts w:ascii="Times New Roman" w:hAnsi="Times New Roman" w:cs="Times New Roman"/>
          <w:sz w:val="24"/>
          <w:szCs w:val="24"/>
        </w:rPr>
        <w:t>. Já em Mato Grosso, ocorreu um aumento da participação no número de estabelecimentos de todos os grupos de área.</w:t>
      </w:r>
      <w:r w:rsidR="00887294">
        <w:rPr>
          <w:rFonts w:ascii="Times New Roman" w:hAnsi="Times New Roman" w:cs="Times New Roman"/>
          <w:sz w:val="24"/>
          <w:szCs w:val="24"/>
        </w:rPr>
        <w:t xml:space="preserve"> Deve-se considerar aqui que no final da década de 1990 e início dos anos 2000, o governo atuou fortemente com </w:t>
      </w:r>
      <w:r w:rsidR="00887294">
        <w:rPr>
          <w:rFonts w:ascii="Times New Roman" w:hAnsi="Times New Roman" w:cs="Times New Roman"/>
          <w:sz w:val="24"/>
          <w:szCs w:val="24"/>
        </w:rPr>
        <w:lastRenderedPageBreak/>
        <w:t>política de assentamentos rurais o que contribuiu para também o número de estabelecimentos menores.</w:t>
      </w:r>
    </w:p>
    <w:p w14:paraId="12856246" w14:textId="253067A5"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Na área total dos estabelecimentos, o Centro-Oeste </w:t>
      </w:r>
      <w:r w:rsidR="00B32A38" w:rsidRPr="0088141F">
        <w:rPr>
          <w:rFonts w:ascii="Times New Roman" w:hAnsi="Times New Roman" w:cs="Times New Roman"/>
          <w:sz w:val="24"/>
          <w:szCs w:val="24"/>
        </w:rPr>
        <w:t>elevou, sensivelmente, sua</w:t>
      </w:r>
      <w:r w:rsidRPr="0088141F">
        <w:rPr>
          <w:rFonts w:ascii="Times New Roman" w:hAnsi="Times New Roman" w:cs="Times New Roman"/>
          <w:sz w:val="24"/>
          <w:szCs w:val="24"/>
        </w:rPr>
        <w:t xml:space="preserve"> participação </w:t>
      </w:r>
      <w:r w:rsidR="00B32A38" w:rsidRPr="0088141F">
        <w:rPr>
          <w:rFonts w:ascii="Times New Roman" w:hAnsi="Times New Roman" w:cs="Times New Roman"/>
          <w:sz w:val="24"/>
          <w:szCs w:val="24"/>
        </w:rPr>
        <w:t>na área total do país de 3</w:t>
      </w:r>
      <w:r w:rsidR="00A73F77" w:rsidRPr="0088141F">
        <w:rPr>
          <w:rFonts w:ascii="Times New Roman" w:hAnsi="Times New Roman" w:cs="Times New Roman"/>
          <w:sz w:val="24"/>
          <w:szCs w:val="24"/>
        </w:rPr>
        <w:t>1</w:t>
      </w:r>
      <w:r w:rsidR="00B32A38" w:rsidRPr="0088141F">
        <w:rPr>
          <w:rFonts w:ascii="Times New Roman" w:hAnsi="Times New Roman" w:cs="Times New Roman"/>
          <w:sz w:val="24"/>
          <w:szCs w:val="24"/>
        </w:rPr>
        <w:t>,6% para 3</w:t>
      </w:r>
      <w:r w:rsidR="00A73F77" w:rsidRPr="0088141F">
        <w:rPr>
          <w:rFonts w:ascii="Times New Roman" w:hAnsi="Times New Roman" w:cs="Times New Roman"/>
          <w:sz w:val="24"/>
          <w:szCs w:val="24"/>
        </w:rPr>
        <w:t>1</w:t>
      </w:r>
      <w:r w:rsidR="00B32A38" w:rsidRPr="0088141F">
        <w:rPr>
          <w:rFonts w:ascii="Times New Roman" w:hAnsi="Times New Roman" w:cs="Times New Roman"/>
          <w:sz w:val="24"/>
          <w:szCs w:val="24"/>
        </w:rPr>
        <w:t xml:space="preserve">,8% no último ano, </w:t>
      </w:r>
      <w:r w:rsidR="00A73F77" w:rsidRPr="0088141F">
        <w:rPr>
          <w:rFonts w:ascii="Times New Roman" w:hAnsi="Times New Roman" w:cs="Times New Roman"/>
          <w:sz w:val="24"/>
          <w:szCs w:val="24"/>
        </w:rPr>
        <w:t>determinado por</w:t>
      </w:r>
      <w:r w:rsidRPr="0088141F">
        <w:rPr>
          <w:rFonts w:ascii="Times New Roman" w:hAnsi="Times New Roman" w:cs="Times New Roman"/>
          <w:sz w:val="24"/>
          <w:szCs w:val="24"/>
        </w:rPr>
        <w:t xml:space="preserve"> um leve crescimento </w:t>
      </w:r>
      <w:r w:rsidR="00A73F77" w:rsidRPr="0088141F">
        <w:rPr>
          <w:rFonts w:ascii="Times New Roman" w:hAnsi="Times New Roman" w:cs="Times New Roman"/>
          <w:sz w:val="24"/>
          <w:szCs w:val="24"/>
        </w:rPr>
        <w:t xml:space="preserve">de sua participação </w:t>
      </w:r>
      <w:r w:rsidRPr="0088141F">
        <w:rPr>
          <w:rFonts w:ascii="Times New Roman" w:hAnsi="Times New Roman" w:cs="Times New Roman"/>
          <w:sz w:val="24"/>
          <w:szCs w:val="24"/>
        </w:rPr>
        <w:t xml:space="preserve">na área dos estabelecimentos </w:t>
      </w:r>
      <w:r w:rsidR="00A73F77" w:rsidRPr="0088141F">
        <w:rPr>
          <w:rFonts w:ascii="Times New Roman" w:hAnsi="Times New Roman" w:cs="Times New Roman"/>
          <w:sz w:val="24"/>
          <w:szCs w:val="24"/>
        </w:rPr>
        <w:t>nas</w:t>
      </w:r>
      <w:r w:rsidR="008347BD" w:rsidRPr="0088141F">
        <w:rPr>
          <w:rFonts w:ascii="Times New Roman" w:hAnsi="Times New Roman" w:cs="Times New Roman"/>
          <w:sz w:val="24"/>
          <w:szCs w:val="24"/>
        </w:rPr>
        <w:t xml:space="preserve"> primeiras faixas. E</w:t>
      </w:r>
      <w:r w:rsidRPr="0088141F">
        <w:rPr>
          <w:rFonts w:ascii="Times New Roman" w:hAnsi="Times New Roman" w:cs="Times New Roman"/>
          <w:sz w:val="24"/>
          <w:szCs w:val="24"/>
        </w:rPr>
        <w:t>nquanto</w:t>
      </w:r>
      <w:r w:rsidR="008347BD" w:rsidRPr="0088141F">
        <w:rPr>
          <w:rFonts w:ascii="Times New Roman" w:hAnsi="Times New Roman" w:cs="Times New Roman"/>
          <w:sz w:val="24"/>
          <w:szCs w:val="24"/>
        </w:rPr>
        <w:t>,</w:t>
      </w:r>
      <w:r w:rsidRPr="0088141F">
        <w:rPr>
          <w:rFonts w:ascii="Times New Roman" w:hAnsi="Times New Roman" w:cs="Times New Roman"/>
          <w:sz w:val="24"/>
          <w:szCs w:val="24"/>
        </w:rPr>
        <w:t xml:space="preserve"> Mato Grosso elevou a sua participação de 14,6%</w:t>
      </w:r>
      <w:r w:rsidR="008347BD" w:rsidRPr="0088141F">
        <w:rPr>
          <w:rFonts w:ascii="Times New Roman" w:hAnsi="Times New Roman" w:cs="Times New Roman"/>
          <w:sz w:val="24"/>
          <w:szCs w:val="24"/>
        </w:rPr>
        <w:t xml:space="preserve"> para 15,6</w:t>
      </w:r>
      <w:r w:rsidRPr="0088141F">
        <w:rPr>
          <w:rFonts w:ascii="Times New Roman" w:hAnsi="Times New Roman" w:cs="Times New Roman"/>
          <w:sz w:val="24"/>
          <w:szCs w:val="24"/>
        </w:rPr>
        <w:t>%</w:t>
      </w:r>
      <w:r w:rsidR="007F7091">
        <w:rPr>
          <w:rFonts w:ascii="Times New Roman" w:hAnsi="Times New Roman" w:cs="Times New Roman"/>
          <w:sz w:val="24"/>
          <w:szCs w:val="24"/>
        </w:rPr>
        <w:t xml:space="preserve"> na área total brasileira</w:t>
      </w:r>
      <w:r w:rsidRPr="0088141F">
        <w:rPr>
          <w:rFonts w:ascii="Times New Roman" w:hAnsi="Times New Roman" w:cs="Times New Roman"/>
          <w:sz w:val="24"/>
          <w:szCs w:val="24"/>
        </w:rPr>
        <w:t>. No estado, o grupo com área de mais de 1.000 hectares</w:t>
      </w:r>
      <w:r w:rsidR="009B6367" w:rsidRPr="0088141F">
        <w:rPr>
          <w:rFonts w:ascii="Times New Roman" w:hAnsi="Times New Roman" w:cs="Times New Roman"/>
          <w:sz w:val="24"/>
          <w:szCs w:val="24"/>
        </w:rPr>
        <w:t xml:space="preserve"> e mais</w:t>
      </w:r>
      <w:r w:rsidRPr="0088141F">
        <w:rPr>
          <w:rFonts w:ascii="Times New Roman" w:hAnsi="Times New Roman" w:cs="Times New Roman"/>
          <w:sz w:val="24"/>
          <w:szCs w:val="24"/>
        </w:rPr>
        <w:t>, que representava 25,3% da área dos estabelecimentos</w:t>
      </w:r>
      <w:r w:rsidR="00A73F77" w:rsidRPr="0088141F">
        <w:rPr>
          <w:rFonts w:ascii="Times New Roman" w:hAnsi="Times New Roman" w:cs="Times New Roman"/>
          <w:sz w:val="24"/>
          <w:szCs w:val="24"/>
        </w:rPr>
        <w:t xml:space="preserve"> da faixa no país</w:t>
      </w:r>
      <w:r w:rsidRPr="0088141F">
        <w:rPr>
          <w:rFonts w:ascii="Times New Roman" w:hAnsi="Times New Roman" w:cs="Times New Roman"/>
          <w:sz w:val="24"/>
          <w:szCs w:val="24"/>
        </w:rPr>
        <w:t>, em 2006, passou para 26,</w:t>
      </w:r>
      <w:r w:rsidR="008347BD" w:rsidRPr="0088141F">
        <w:rPr>
          <w:rFonts w:ascii="Times New Roman" w:hAnsi="Times New Roman" w:cs="Times New Roman"/>
          <w:sz w:val="24"/>
          <w:szCs w:val="24"/>
        </w:rPr>
        <w:t>3</w:t>
      </w:r>
      <w:r w:rsidRPr="0088141F">
        <w:rPr>
          <w:rFonts w:ascii="Times New Roman" w:hAnsi="Times New Roman" w:cs="Times New Roman"/>
          <w:sz w:val="24"/>
          <w:szCs w:val="24"/>
        </w:rPr>
        <w:t>%, em 2017</w:t>
      </w:r>
      <w:r w:rsidR="008347BD" w:rsidRPr="0088141F">
        <w:rPr>
          <w:rFonts w:ascii="Times New Roman" w:hAnsi="Times New Roman" w:cs="Times New Roman"/>
          <w:sz w:val="24"/>
          <w:szCs w:val="24"/>
        </w:rPr>
        <w:t xml:space="preserve">, sendo esse grupo responsável pelo aumento da participação estadual </w:t>
      </w:r>
      <w:r w:rsidR="00A73F77" w:rsidRPr="0088141F">
        <w:rPr>
          <w:rFonts w:ascii="Times New Roman" w:hAnsi="Times New Roman" w:cs="Times New Roman"/>
          <w:sz w:val="24"/>
          <w:szCs w:val="24"/>
        </w:rPr>
        <w:t>n</w:t>
      </w:r>
      <w:r w:rsidR="008347BD" w:rsidRPr="0088141F">
        <w:rPr>
          <w:rFonts w:ascii="Times New Roman" w:hAnsi="Times New Roman" w:cs="Times New Roman"/>
          <w:sz w:val="24"/>
          <w:szCs w:val="24"/>
        </w:rPr>
        <w:t xml:space="preserve">a área </w:t>
      </w:r>
      <w:r w:rsidR="00A73F77" w:rsidRPr="0088141F">
        <w:rPr>
          <w:rFonts w:ascii="Times New Roman" w:hAnsi="Times New Roman" w:cs="Times New Roman"/>
          <w:sz w:val="24"/>
          <w:szCs w:val="24"/>
        </w:rPr>
        <w:t>nacional</w:t>
      </w:r>
      <w:r w:rsidRPr="0088141F">
        <w:rPr>
          <w:rFonts w:ascii="Times New Roman" w:hAnsi="Times New Roman" w:cs="Times New Roman"/>
          <w:sz w:val="24"/>
          <w:szCs w:val="24"/>
        </w:rPr>
        <w:t>. Assim, enquanto no Centro-Oeste ocorreu uma leve queda da participação dos estabelecimentos situados nos estratos de maiores áreas, no caso de Mato Grosso ocorreu o inverso.</w:t>
      </w:r>
    </w:p>
    <w:p w14:paraId="2217E090"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Em relação à área média dos estabelecimentos, o Brasil apresentou um aumento de </w:t>
      </w:r>
      <w:r w:rsidR="008347BD" w:rsidRPr="0088141F">
        <w:rPr>
          <w:rFonts w:ascii="Times New Roman" w:hAnsi="Times New Roman" w:cs="Times New Roman"/>
          <w:sz w:val="24"/>
          <w:szCs w:val="24"/>
        </w:rPr>
        <w:t xml:space="preserve">64,9 </w:t>
      </w:r>
      <w:r w:rsidR="009B6367" w:rsidRPr="0088141F">
        <w:rPr>
          <w:rFonts w:ascii="Times New Roman" w:hAnsi="Times New Roman" w:cs="Times New Roman"/>
          <w:sz w:val="24"/>
          <w:szCs w:val="24"/>
        </w:rPr>
        <w:t>para</w:t>
      </w:r>
      <w:r w:rsidR="008347BD" w:rsidRPr="0088141F">
        <w:rPr>
          <w:rFonts w:ascii="Times New Roman" w:hAnsi="Times New Roman" w:cs="Times New Roman"/>
          <w:sz w:val="24"/>
          <w:szCs w:val="24"/>
        </w:rPr>
        <w:t xml:space="preserve"> 69,3</w:t>
      </w:r>
      <w:r w:rsidRPr="0088141F">
        <w:rPr>
          <w:rFonts w:ascii="Times New Roman" w:hAnsi="Times New Roman" w:cs="Times New Roman"/>
          <w:sz w:val="24"/>
          <w:szCs w:val="24"/>
        </w:rPr>
        <w:t xml:space="preserve"> nos dados de 2006 e 2017. Por sua vez, em Mato Grosso, </w:t>
      </w:r>
      <w:r w:rsidR="009B6367" w:rsidRPr="0088141F">
        <w:rPr>
          <w:rFonts w:ascii="Times New Roman" w:hAnsi="Times New Roman" w:cs="Times New Roman"/>
          <w:sz w:val="24"/>
          <w:szCs w:val="24"/>
        </w:rPr>
        <w:t xml:space="preserve">a elevação foi de 430,62, em </w:t>
      </w:r>
      <w:r w:rsidRPr="0088141F">
        <w:rPr>
          <w:rFonts w:ascii="Times New Roman" w:hAnsi="Times New Roman" w:cs="Times New Roman"/>
          <w:sz w:val="24"/>
          <w:szCs w:val="24"/>
        </w:rPr>
        <w:t>2006</w:t>
      </w:r>
      <w:r w:rsidR="008347BD" w:rsidRPr="0088141F">
        <w:rPr>
          <w:rFonts w:ascii="Times New Roman" w:hAnsi="Times New Roman" w:cs="Times New Roman"/>
          <w:sz w:val="24"/>
          <w:szCs w:val="24"/>
        </w:rPr>
        <w:t xml:space="preserve"> para 462,8</w:t>
      </w:r>
      <w:r w:rsidRPr="0088141F">
        <w:rPr>
          <w:rFonts w:ascii="Times New Roman" w:hAnsi="Times New Roman" w:cs="Times New Roman"/>
          <w:sz w:val="24"/>
          <w:szCs w:val="24"/>
        </w:rPr>
        <w:t>, em 2017, evidenciando a formação de novos grandes estabelecimentos e, possivelmente, a incorporação de áreas pelos antigos.</w:t>
      </w:r>
      <w:r w:rsidR="008347BD" w:rsidRPr="0088141F">
        <w:rPr>
          <w:rFonts w:ascii="Times New Roman" w:hAnsi="Times New Roman" w:cs="Times New Roman"/>
          <w:sz w:val="24"/>
          <w:szCs w:val="24"/>
        </w:rPr>
        <w:t xml:space="preserve"> Observa-se que o aumento da área média dos estabelecimentos </w:t>
      </w:r>
      <w:r w:rsidR="00BB519D" w:rsidRPr="0088141F">
        <w:rPr>
          <w:rFonts w:ascii="Times New Roman" w:hAnsi="Times New Roman" w:cs="Times New Roman"/>
          <w:sz w:val="24"/>
          <w:szCs w:val="24"/>
        </w:rPr>
        <w:t>maiores de 1.000 hectares foi o grande responsável pela maior concentração fundiária, uma vez que as demais faixas pouco se alteraram.</w:t>
      </w:r>
    </w:p>
    <w:p w14:paraId="090EB295" w14:textId="1C9898E7" w:rsidR="00977B76" w:rsidRPr="0088141F" w:rsidRDefault="00BB519D"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O aumento da área dos estabelecimentos em Mato Grosso, re</w:t>
      </w:r>
      <w:r w:rsidR="00977B76" w:rsidRPr="0088141F">
        <w:rPr>
          <w:rFonts w:ascii="Times New Roman" w:hAnsi="Times New Roman" w:cs="Times New Roman"/>
          <w:sz w:val="24"/>
          <w:szCs w:val="24"/>
        </w:rPr>
        <w:t>to</w:t>
      </w:r>
      <w:r w:rsidRPr="0088141F">
        <w:rPr>
          <w:rFonts w:ascii="Times New Roman" w:hAnsi="Times New Roman" w:cs="Times New Roman"/>
          <w:sz w:val="24"/>
          <w:szCs w:val="24"/>
        </w:rPr>
        <w:t>rna</w:t>
      </w:r>
      <w:r w:rsidR="009B6367" w:rsidRPr="0088141F">
        <w:rPr>
          <w:rFonts w:ascii="Times New Roman" w:hAnsi="Times New Roman" w:cs="Times New Roman"/>
          <w:sz w:val="24"/>
          <w:szCs w:val="24"/>
        </w:rPr>
        <w:t xml:space="preserve"> </w:t>
      </w:r>
      <w:r w:rsidR="00977B76" w:rsidRPr="0088141F">
        <w:rPr>
          <w:rFonts w:ascii="Times New Roman" w:hAnsi="Times New Roman" w:cs="Times New Roman"/>
          <w:sz w:val="24"/>
          <w:szCs w:val="24"/>
        </w:rPr>
        <w:t>tamb</w:t>
      </w:r>
      <w:r w:rsidRPr="0088141F">
        <w:rPr>
          <w:rFonts w:ascii="Times New Roman" w:hAnsi="Times New Roman" w:cs="Times New Roman"/>
          <w:sz w:val="24"/>
          <w:szCs w:val="24"/>
        </w:rPr>
        <w:t>ém a questão do preço da terra</w:t>
      </w:r>
      <w:r w:rsidR="00977B76" w:rsidRPr="0088141F">
        <w:rPr>
          <w:rFonts w:ascii="Times New Roman" w:hAnsi="Times New Roman" w:cs="Times New Roman"/>
          <w:sz w:val="24"/>
          <w:szCs w:val="24"/>
        </w:rPr>
        <w:t>. O Gráfico 1 traz os dados dos preços de vendas de terras de lavoura e de pastagens no Brasil e em Mato Grosso, para o período 2003 a 2014</w:t>
      </w:r>
      <w:r w:rsidR="009B6367" w:rsidRPr="0088141F">
        <w:rPr>
          <w:rStyle w:val="Refdenotaderodap"/>
          <w:rFonts w:ascii="Times New Roman" w:hAnsi="Times New Roman" w:cs="Times New Roman"/>
          <w:sz w:val="24"/>
          <w:szCs w:val="24"/>
        </w:rPr>
        <w:t xml:space="preserve"> </w:t>
      </w:r>
      <w:r w:rsidR="009B6367" w:rsidRPr="0088141F">
        <w:rPr>
          <w:rStyle w:val="Refdenotaderodap"/>
          <w:rFonts w:ascii="Times New Roman" w:hAnsi="Times New Roman" w:cs="Times New Roman"/>
          <w:sz w:val="24"/>
          <w:szCs w:val="24"/>
        </w:rPr>
        <w:footnoteReference w:id="8"/>
      </w:r>
      <w:r w:rsidR="0059675E">
        <w:rPr>
          <w:rFonts w:ascii="Times New Roman" w:hAnsi="Times New Roman" w:cs="Times New Roman"/>
          <w:sz w:val="24"/>
          <w:szCs w:val="24"/>
        </w:rPr>
        <w:t xml:space="preserve">. </w:t>
      </w:r>
      <w:r w:rsidR="00977B76" w:rsidRPr="0088141F">
        <w:rPr>
          <w:rFonts w:ascii="Times New Roman" w:hAnsi="Times New Roman" w:cs="Times New Roman"/>
          <w:sz w:val="24"/>
          <w:szCs w:val="24"/>
        </w:rPr>
        <w:t>Tais dados revelam que a maior elevação ocorreu no caso dos preços de terras de lavouras de Mato Grosso, após 2006. Essa elevação foi tão significativa que, em 2014, tais preços situaram-se acima das mesmas terras para todo o Brasil. Já quanto às terras de pastagem, o mesmo ocorreu já a partir de 2011.</w:t>
      </w:r>
    </w:p>
    <w:p w14:paraId="6D87FCBA"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Assim, fechou-se, definitivamente, a possibilidade de acesso às terras aos trabalhadores (via mercado de terras), ao mesmo tempo em que se encareceu demais a alternativa de desapropriação pelos governos, para fins de Reforma Agrária.</w:t>
      </w:r>
    </w:p>
    <w:p w14:paraId="14F76FBF" w14:textId="77777777" w:rsidR="00977B76" w:rsidRPr="0088141F" w:rsidRDefault="00977B76" w:rsidP="00AF5703">
      <w:pPr>
        <w:spacing w:after="0" w:line="240" w:lineRule="auto"/>
        <w:jc w:val="both"/>
        <w:rPr>
          <w:rFonts w:ascii="Times New Roman" w:hAnsi="Times New Roman" w:cs="Times New Roman"/>
          <w:b/>
          <w:sz w:val="24"/>
          <w:szCs w:val="24"/>
        </w:rPr>
      </w:pPr>
      <w:bookmarkStart w:id="11" w:name="_Toc2204471"/>
    </w:p>
    <w:p w14:paraId="7386B5BF" w14:textId="77777777" w:rsidR="00977B76" w:rsidRPr="0088141F" w:rsidRDefault="00977B76" w:rsidP="00AF5703">
      <w:pPr>
        <w:spacing w:after="0" w:line="240" w:lineRule="auto"/>
        <w:jc w:val="both"/>
        <w:rPr>
          <w:rFonts w:ascii="Times New Roman" w:hAnsi="Times New Roman" w:cs="Times New Roman"/>
          <w:b/>
          <w:sz w:val="24"/>
          <w:szCs w:val="24"/>
        </w:rPr>
      </w:pPr>
      <w:r w:rsidRPr="0088141F">
        <w:rPr>
          <w:rFonts w:ascii="Times New Roman" w:hAnsi="Times New Roman" w:cs="Times New Roman"/>
          <w:b/>
          <w:sz w:val="24"/>
          <w:szCs w:val="24"/>
        </w:rPr>
        <w:t>Gráfico 1: Preços de Vendas de Terras de Lavoura e Pastagem, no Brasil e no Mato Grosso, entre 2003 e 2014 (R$/ha).</w:t>
      </w:r>
      <w:bookmarkEnd w:id="11"/>
    </w:p>
    <w:p w14:paraId="11F7458B" w14:textId="77777777" w:rsidR="00977B76" w:rsidRPr="0088141F" w:rsidRDefault="00977B76" w:rsidP="004316DE">
      <w:pPr>
        <w:spacing w:after="0" w:line="240" w:lineRule="auto"/>
        <w:jc w:val="center"/>
        <w:rPr>
          <w:rFonts w:ascii="Times New Roman" w:hAnsi="Times New Roman" w:cs="Times New Roman"/>
          <w:sz w:val="24"/>
          <w:szCs w:val="24"/>
        </w:rPr>
      </w:pPr>
      <w:r w:rsidRPr="0088141F">
        <w:rPr>
          <w:rFonts w:ascii="Times New Roman" w:hAnsi="Times New Roman" w:cs="Times New Roman"/>
          <w:noProof/>
        </w:rPr>
        <w:drawing>
          <wp:inline distT="0" distB="0" distL="0" distR="0" wp14:anchorId="6C684540" wp14:editId="55D3B8E9">
            <wp:extent cx="5386070" cy="2667000"/>
            <wp:effectExtent l="0" t="0" r="508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33A15D" w14:textId="77777777" w:rsidR="00977B76" w:rsidRPr="0088141F" w:rsidRDefault="00977B76" w:rsidP="00AF5703">
      <w:pPr>
        <w:spacing w:after="0" w:line="240" w:lineRule="auto"/>
        <w:jc w:val="both"/>
        <w:rPr>
          <w:rFonts w:ascii="Times New Roman" w:hAnsi="Times New Roman" w:cs="Times New Roman"/>
          <w:sz w:val="20"/>
          <w:szCs w:val="20"/>
        </w:rPr>
      </w:pPr>
      <w:r w:rsidRPr="0088141F">
        <w:rPr>
          <w:rFonts w:ascii="Times New Roman" w:hAnsi="Times New Roman" w:cs="Times New Roman"/>
          <w:b/>
          <w:sz w:val="20"/>
          <w:szCs w:val="20"/>
        </w:rPr>
        <w:t>Fonte:</w:t>
      </w:r>
      <w:r w:rsidRPr="0088141F">
        <w:rPr>
          <w:rFonts w:ascii="Times New Roman" w:hAnsi="Times New Roman" w:cs="Times New Roman"/>
          <w:sz w:val="20"/>
          <w:szCs w:val="20"/>
        </w:rPr>
        <w:t xml:space="preserve"> FGV Dados (2018)</w:t>
      </w:r>
    </w:p>
    <w:p w14:paraId="15C24BA6" w14:textId="77777777" w:rsidR="00977B76" w:rsidRPr="0088141F" w:rsidRDefault="00977B76" w:rsidP="00AF5703">
      <w:pPr>
        <w:spacing w:after="0" w:line="240" w:lineRule="auto"/>
        <w:jc w:val="both"/>
        <w:rPr>
          <w:rFonts w:ascii="Times New Roman" w:hAnsi="Times New Roman" w:cs="Times New Roman"/>
          <w:sz w:val="20"/>
          <w:szCs w:val="20"/>
        </w:rPr>
      </w:pPr>
      <w:r w:rsidRPr="0088141F">
        <w:rPr>
          <w:rFonts w:ascii="Times New Roman" w:hAnsi="Times New Roman" w:cs="Times New Roman"/>
          <w:sz w:val="20"/>
          <w:szCs w:val="20"/>
        </w:rPr>
        <w:t xml:space="preserve">Ajustados a valores de </w:t>
      </w:r>
      <w:proofErr w:type="spellStart"/>
      <w:r w:rsidRPr="0088141F">
        <w:rPr>
          <w:rFonts w:ascii="Times New Roman" w:hAnsi="Times New Roman" w:cs="Times New Roman"/>
          <w:sz w:val="20"/>
          <w:szCs w:val="20"/>
        </w:rPr>
        <w:t>jun</w:t>
      </w:r>
      <w:proofErr w:type="spellEnd"/>
      <w:r w:rsidRPr="0088141F">
        <w:rPr>
          <w:rFonts w:ascii="Times New Roman" w:hAnsi="Times New Roman" w:cs="Times New Roman"/>
          <w:sz w:val="20"/>
          <w:szCs w:val="20"/>
        </w:rPr>
        <w:t>/2003, pelo IGP-DI.</w:t>
      </w:r>
    </w:p>
    <w:p w14:paraId="59DCD121" w14:textId="77777777" w:rsidR="00977B76" w:rsidRPr="0088141F" w:rsidRDefault="00977B76" w:rsidP="00AF5703">
      <w:pPr>
        <w:spacing w:after="0" w:line="240" w:lineRule="auto"/>
        <w:ind w:firstLine="708"/>
        <w:jc w:val="both"/>
        <w:rPr>
          <w:rFonts w:ascii="Times New Roman" w:hAnsi="Times New Roman" w:cs="Times New Roman"/>
          <w:sz w:val="24"/>
          <w:szCs w:val="24"/>
        </w:rPr>
      </w:pPr>
    </w:p>
    <w:p w14:paraId="074FD72D"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lastRenderedPageBreak/>
        <w:t xml:space="preserve">Evidentemente, tais movimentos decorreram da devida explicitação do potencial produtivo e lucrativo dos solos do Cerrado utilizados por culturas fornecedoras de grãos voltados para o mercado externo. Isso é válido, também, para as lavouras de algodão e de cana-de-açúcar, estarem </w:t>
      </w:r>
      <w:r w:rsidR="009B6367" w:rsidRPr="0088141F">
        <w:rPr>
          <w:rFonts w:ascii="Times New Roman" w:hAnsi="Times New Roman" w:cs="Times New Roman"/>
          <w:sz w:val="24"/>
          <w:szCs w:val="24"/>
        </w:rPr>
        <w:t xml:space="preserve">sendo </w:t>
      </w:r>
      <w:r w:rsidRPr="0088141F">
        <w:rPr>
          <w:rFonts w:ascii="Times New Roman" w:hAnsi="Times New Roman" w:cs="Times New Roman"/>
          <w:sz w:val="24"/>
          <w:szCs w:val="24"/>
        </w:rPr>
        <w:t xml:space="preserve">transformadas, localmente, </w:t>
      </w:r>
      <w:r w:rsidR="009B6367" w:rsidRPr="0088141F">
        <w:rPr>
          <w:rFonts w:ascii="Times New Roman" w:hAnsi="Times New Roman" w:cs="Times New Roman"/>
          <w:sz w:val="24"/>
          <w:szCs w:val="24"/>
        </w:rPr>
        <w:t>como o caso do</w:t>
      </w:r>
      <w:r w:rsidRPr="0088141F">
        <w:rPr>
          <w:rFonts w:ascii="Times New Roman" w:hAnsi="Times New Roman" w:cs="Times New Roman"/>
          <w:sz w:val="24"/>
          <w:szCs w:val="24"/>
        </w:rPr>
        <w:t xml:space="preserve"> açúcar e etanol.</w:t>
      </w:r>
    </w:p>
    <w:p w14:paraId="1CFE9A50" w14:textId="6452D2F9" w:rsidR="00977B76" w:rsidRPr="0088141F" w:rsidRDefault="009B6367"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Ainda, g</w:t>
      </w:r>
      <w:r w:rsidR="00977B76" w:rsidRPr="0088141F">
        <w:rPr>
          <w:rFonts w:ascii="Times New Roman" w:hAnsi="Times New Roman" w:cs="Times New Roman"/>
          <w:sz w:val="24"/>
          <w:szCs w:val="24"/>
        </w:rPr>
        <w:t>uardou relação com isto tanto o aumento dos preços dos alimentos como a desregulamentação do mercado de derivativos norte-americanos (na maior bolsa mundial de mercadorias)</w:t>
      </w:r>
      <w:r w:rsidR="00954A49">
        <w:rPr>
          <w:rFonts w:ascii="Times New Roman" w:hAnsi="Times New Roman" w:cs="Times New Roman"/>
          <w:sz w:val="24"/>
          <w:szCs w:val="24"/>
        </w:rPr>
        <w:t xml:space="preserve"> (SOUZA, 2012)</w:t>
      </w:r>
      <w:r w:rsidR="00977B76" w:rsidRPr="0088141F">
        <w:rPr>
          <w:rFonts w:ascii="Times New Roman" w:hAnsi="Times New Roman" w:cs="Times New Roman"/>
          <w:sz w:val="24"/>
          <w:szCs w:val="24"/>
        </w:rPr>
        <w:t xml:space="preserve">, o que ocasionou o direcionamento de recursos de investidores (e especuladores) para países em desenvolvimento, com disponibilidade de terras aptas, não apenas para as lavouras mencionadas. Cabe lembrar que a soja é a principal matéria-prima utilizada no Brasil para fabricação de biodiesel, seguida do sebo bovino. </w:t>
      </w:r>
    </w:p>
    <w:p w14:paraId="6E72B50B"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 Gráfico </w:t>
      </w:r>
      <w:r w:rsidR="00AF5703" w:rsidRPr="0088141F">
        <w:rPr>
          <w:rFonts w:ascii="Times New Roman" w:hAnsi="Times New Roman" w:cs="Times New Roman"/>
          <w:sz w:val="24"/>
          <w:szCs w:val="24"/>
        </w:rPr>
        <w:t>2</w:t>
      </w:r>
      <w:r w:rsidRPr="0088141F">
        <w:rPr>
          <w:rFonts w:ascii="Times New Roman" w:hAnsi="Times New Roman" w:cs="Times New Roman"/>
          <w:sz w:val="24"/>
          <w:szCs w:val="24"/>
        </w:rPr>
        <w:t xml:space="preserve"> traz a evolução dos índices de preços das terras em questão. Fica corroborado que as terras de lavouras de Mato Grosso apresentaram as maiores elevações, exceto em alguns anos.</w:t>
      </w:r>
    </w:p>
    <w:p w14:paraId="419859DD" w14:textId="36699A9C" w:rsidR="009B6367" w:rsidRPr="0088141F" w:rsidRDefault="009B6367" w:rsidP="004316DE">
      <w:pPr>
        <w:spacing w:after="0" w:line="240" w:lineRule="auto"/>
        <w:ind w:firstLine="708"/>
        <w:jc w:val="both"/>
        <w:rPr>
          <w:rFonts w:ascii="Times New Roman" w:hAnsi="Times New Roman" w:cs="Times New Roman"/>
          <w:sz w:val="24"/>
          <w:szCs w:val="24"/>
        </w:rPr>
      </w:pPr>
      <w:bookmarkStart w:id="12" w:name="_Toc2204472"/>
    </w:p>
    <w:p w14:paraId="0CBC384C" w14:textId="77777777" w:rsidR="00977B76" w:rsidRPr="0088141F" w:rsidRDefault="00977B76" w:rsidP="00AF5703">
      <w:pPr>
        <w:spacing w:after="0" w:line="240" w:lineRule="auto"/>
        <w:jc w:val="both"/>
        <w:rPr>
          <w:rFonts w:ascii="Times New Roman" w:hAnsi="Times New Roman" w:cs="Times New Roman"/>
          <w:b/>
          <w:sz w:val="24"/>
          <w:szCs w:val="24"/>
        </w:rPr>
      </w:pPr>
      <w:r w:rsidRPr="0088141F">
        <w:rPr>
          <w:rFonts w:ascii="Times New Roman" w:hAnsi="Times New Roman" w:cs="Times New Roman"/>
          <w:b/>
          <w:sz w:val="24"/>
          <w:szCs w:val="24"/>
        </w:rPr>
        <w:t xml:space="preserve">Gráfico </w:t>
      </w:r>
      <w:r w:rsidR="00AF5703" w:rsidRPr="0088141F">
        <w:rPr>
          <w:rFonts w:ascii="Times New Roman" w:hAnsi="Times New Roman" w:cs="Times New Roman"/>
          <w:b/>
          <w:sz w:val="24"/>
          <w:szCs w:val="24"/>
        </w:rPr>
        <w:t>2</w:t>
      </w:r>
      <w:r w:rsidRPr="0088141F">
        <w:rPr>
          <w:rFonts w:ascii="Times New Roman" w:hAnsi="Times New Roman" w:cs="Times New Roman"/>
          <w:b/>
          <w:sz w:val="24"/>
          <w:szCs w:val="24"/>
        </w:rPr>
        <w:t>: Índice de Preços de Vendas de Terras de Lavoura e Pastagem, no Brasil e no Mato Grosso, entre 2003 e 2014 (2003 = 100).</w:t>
      </w:r>
      <w:bookmarkEnd w:id="12"/>
    </w:p>
    <w:p w14:paraId="2BC87A40" w14:textId="77777777" w:rsidR="00977B76" w:rsidRPr="0088141F" w:rsidRDefault="00977B76" w:rsidP="00880DC0">
      <w:pPr>
        <w:spacing w:after="0" w:line="240" w:lineRule="auto"/>
        <w:jc w:val="center"/>
        <w:rPr>
          <w:rFonts w:ascii="Times New Roman" w:hAnsi="Times New Roman" w:cs="Times New Roman"/>
          <w:sz w:val="24"/>
          <w:szCs w:val="24"/>
        </w:rPr>
      </w:pPr>
      <w:r w:rsidRPr="0088141F">
        <w:rPr>
          <w:rFonts w:ascii="Times New Roman" w:hAnsi="Times New Roman" w:cs="Times New Roman"/>
          <w:noProof/>
        </w:rPr>
        <w:drawing>
          <wp:inline distT="0" distB="0" distL="0" distR="0" wp14:anchorId="60D6F886" wp14:editId="43602849">
            <wp:extent cx="5674360" cy="2647950"/>
            <wp:effectExtent l="0" t="0" r="254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06BD65" w14:textId="77777777" w:rsidR="00977B76" w:rsidRPr="0088141F" w:rsidRDefault="00977B76" w:rsidP="00AF5703">
      <w:pPr>
        <w:spacing w:after="0" w:line="240" w:lineRule="auto"/>
        <w:jc w:val="both"/>
        <w:rPr>
          <w:rFonts w:ascii="Times New Roman" w:hAnsi="Times New Roman" w:cs="Times New Roman"/>
          <w:sz w:val="20"/>
          <w:szCs w:val="20"/>
        </w:rPr>
      </w:pPr>
      <w:r w:rsidRPr="0088141F">
        <w:rPr>
          <w:rFonts w:ascii="Times New Roman" w:hAnsi="Times New Roman" w:cs="Times New Roman"/>
          <w:b/>
          <w:sz w:val="20"/>
          <w:szCs w:val="20"/>
        </w:rPr>
        <w:t>Fonte:</w:t>
      </w:r>
      <w:r w:rsidRPr="0088141F">
        <w:rPr>
          <w:rFonts w:ascii="Times New Roman" w:hAnsi="Times New Roman" w:cs="Times New Roman"/>
          <w:sz w:val="20"/>
          <w:szCs w:val="20"/>
        </w:rPr>
        <w:t xml:space="preserve"> FGV Dados (2018)</w:t>
      </w:r>
    </w:p>
    <w:p w14:paraId="2E9CA4DC" w14:textId="77777777" w:rsidR="00977B76" w:rsidRPr="0088141F" w:rsidRDefault="00977B76" w:rsidP="00AF5703">
      <w:pPr>
        <w:spacing w:after="0" w:line="240" w:lineRule="auto"/>
        <w:jc w:val="both"/>
        <w:rPr>
          <w:rFonts w:ascii="Times New Roman" w:hAnsi="Times New Roman" w:cs="Times New Roman"/>
          <w:sz w:val="20"/>
          <w:szCs w:val="20"/>
        </w:rPr>
      </w:pPr>
      <w:r w:rsidRPr="0088141F">
        <w:rPr>
          <w:rFonts w:ascii="Times New Roman" w:hAnsi="Times New Roman" w:cs="Times New Roman"/>
          <w:sz w:val="20"/>
          <w:szCs w:val="20"/>
        </w:rPr>
        <w:t xml:space="preserve">Ajustados a valores de </w:t>
      </w:r>
      <w:proofErr w:type="spellStart"/>
      <w:r w:rsidRPr="0088141F">
        <w:rPr>
          <w:rFonts w:ascii="Times New Roman" w:hAnsi="Times New Roman" w:cs="Times New Roman"/>
          <w:sz w:val="20"/>
          <w:szCs w:val="20"/>
        </w:rPr>
        <w:t>jun</w:t>
      </w:r>
      <w:proofErr w:type="spellEnd"/>
      <w:r w:rsidRPr="0088141F">
        <w:rPr>
          <w:rFonts w:ascii="Times New Roman" w:hAnsi="Times New Roman" w:cs="Times New Roman"/>
          <w:sz w:val="20"/>
          <w:szCs w:val="20"/>
        </w:rPr>
        <w:t>/2003, pelo IGP-DI.</w:t>
      </w:r>
    </w:p>
    <w:p w14:paraId="4A6D453E" w14:textId="77777777" w:rsidR="00977B76" w:rsidRPr="0088141F" w:rsidRDefault="00977B76" w:rsidP="00AF5703">
      <w:pPr>
        <w:spacing w:after="0" w:line="240" w:lineRule="auto"/>
        <w:ind w:firstLine="708"/>
        <w:jc w:val="both"/>
        <w:rPr>
          <w:rFonts w:ascii="Times New Roman" w:hAnsi="Times New Roman" w:cs="Times New Roman"/>
          <w:sz w:val="24"/>
          <w:szCs w:val="24"/>
        </w:rPr>
      </w:pPr>
    </w:p>
    <w:p w14:paraId="5D0633A3"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Um aspecto a destacar quanto às relações entre os dois tipos de terras (lavoura e pastagem) é que, a partir de 2010, intensificou-se a tendência de transformar terras de pastagem degradadas em terras de</w:t>
      </w:r>
      <w:r w:rsidR="00BA0B34" w:rsidRPr="0088141F">
        <w:rPr>
          <w:rFonts w:ascii="Times New Roman" w:hAnsi="Times New Roman" w:cs="Times New Roman"/>
          <w:sz w:val="24"/>
          <w:szCs w:val="24"/>
        </w:rPr>
        <w:t xml:space="preserve"> lavoura.</w:t>
      </w:r>
    </w:p>
    <w:p w14:paraId="51F7E56E" w14:textId="77777777" w:rsidR="00357EB5" w:rsidRPr="0088141F" w:rsidRDefault="00977B76" w:rsidP="009C4C8B">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 Tabela 2, traz os indicadores de uso das terras dos estabelecimentos de Mato Grosso. Na área de lavoura, ocorreu crescimento no estado de 5</w:t>
      </w:r>
      <w:r w:rsidR="00F85230" w:rsidRPr="0088141F">
        <w:rPr>
          <w:rFonts w:ascii="Times New Roman" w:hAnsi="Times New Roman" w:cs="Times New Roman"/>
          <w:sz w:val="24"/>
          <w:szCs w:val="24"/>
        </w:rPr>
        <w:t>3</w:t>
      </w:r>
      <w:r w:rsidRPr="0088141F">
        <w:rPr>
          <w:rFonts w:ascii="Times New Roman" w:hAnsi="Times New Roman" w:cs="Times New Roman"/>
          <w:sz w:val="24"/>
          <w:szCs w:val="24"/>
        </w:rPr>
        <w:t>,</w:t>
      </w:r>
      <w:r w:rsidR="00F85230" w:rsidRPr="0088141F">
        <w:rPr>
          <w:rFonts w:ascii="Times New Roman" w:hAnsi="Times New Roman" w:cs="Times New Roman"/>
          <w:sz w:val="24"/>
          <w:szCs w:val="24"/>
        </w:rPr>
        <w:t>5</w:t>
      </w:r>
      <w:r w:rsidRPr="0088141F">
        <w:rPr>
          <w:rFonts w:ascii="Times New Roman" w:hAnsi="Times New Roman" w:cs="Times New Roman"/>
          <w:sz w:val="24"/>
          <w:szCs w:val="24"/>
        </w:rPr>
        <w:t xml:space="preserve">%, entre 2006 e 2017, em função da </w:t>
      </w:r>
      <w:r w:rsidR="00357EB5" w:rsidRPr="0088141F">
        <w:rPr>
          <w:rFonts w:ascii="Times New Roman" w:hAnsi="Times New Roman" w:cs="Times New Roman"/>
          <w:sz w:val="24"/>
          <w:szCs w:val="24"/>
        </w:rPr>
        <w:t xml:space="preserve">expansão da </w:t>
      </w:r>
      <w:r w:rsidRPr="0088141F">
        <w:rPr>
          <w:rFonts w:ascii="Times New Roman" w:hAnsi="Times New Roman" w:cs="Times New Roman"/>
          <w:sz w:val="24"/>
          <w:szCs w:val="24"/>
        </w:rPr>
        <w:t>lavoura temporária (de 6</w:t>
      </w:r>
      <w:r w:rsidR="00F85230" w:rsidRPr="0088141F">
        <w:rPr>
          <w:rFonts w:ascii="Times New Roman" w:hAnsi="Times New Roman" w:cs="Times New Roman"/>
          <w:sz w:val="24"/>
          <w:szCs w:val="24"/>
        </w:rPr>
        <w:t>,4</w:t>
      </w:r>
      <w:r w:rsidRPr="0088141F">
        <w:rPr>
          <w:rFonts w:ascii="Times New Roman" w:hAnsi="Times New Roman" w:cs="Times New Roman"/>
          <w:sz w:val="24"/>
          <w:szCs w:val="24"/>
        </w:rPr>
        <w:t xml:space="preserve"> para 9,</w:t>
      </w:r>
      <w:r w:rsidR="00F85230" w:rsidRPr="0088141F">
        <w:rPr>
          <w:rFonts w:ascii="Times New Roman" w:hAnsi="Times New Roman" w:cs="Times New Roman"/>
          <w:sz w:val="24"/>
          <w:szCs w:val="24"/>
        </w:rPr>
        <w:t>8</w:t>
      </w:r>
      <w:r w:rsidRPr="0088141F">
        <w:rPr>
          <w:rFonts w:ascii="Times New Roman" w:hAnsi="Times New Roman" w:cs="Times New Roman"/>
          <w:sz w:val="24"/>
          <w:szCs w:val="24"/>
        </w:rPr>
        <w:t xml:space="preserve"> milhões de hectares), uma vez que a lavoura permanente teve grande diminuição de área</w:t>
      </w:r>
      <w:r w:rsidR="00F85230" w:rsidRPr="0088141F">
        <w:rPr>
          <w:rFonts w:ascii="Times New Roman" w:hAnsi="Times New Roman" w:cs="Times New Roman"/>
          <w:sz w:val="24"/>
          <w:szCs w:val="24"/>
        </w:rPr>
        <w:t xml:space="preserve"> (-75,6%)</w:t>
      </w:r>
      <w:r w:rsidRPr="0088141F">
        <w:rPr>
          <w:rFonts w:ascii="Times New Roman" w:hAnsi="Times New Roman" w:cs="Times New Roman"/>
          <w:sz w:val="24"/>
          <w:szCs w:val="24"/>
        </w:rPr>
        <w:t xml:space="preserve">. No entanto, esse crescimento representou um aumento de participação nacional </w:t>
      </w:r>
      <w:r w:rsidR="00357EB5" w:rsidRPr="0088141F">
        <w:rPr>
          <w:rFonts w:ascii="Times New Roman" w:hAnsi="Times New Roman" w:cs="Times New Roman"/>
          <w:sz w:val="24"/>
          <w:szCs w:val="24"/>
        </w:rPr>
        <w:t xml:space="preserve">de apenas 4,9 </w:t>
      </w:r>
      <w:proofErr w:type="spellStart"/>
      <w:r w:rsidR="00357EB5" w:rsidRPr="0088141F">
        <w:rPr>
          <w:rFonts w:ascii="Times New Roman" w:hAnsi="Times New Roman" w:cs="Times New Roman"/>
          <w:sz w:val="24"/>
          <w:szCs w:val="24"/>
        </w:rPr>
        <w:t>p.p</w:t>
      </w:r>
      <w:proofErr w:type="spellEnd"/>
      <w:r w:rsidR="00357EB5" w:rsidRPr="0088141F">
        <w:rPr>
          <w:rFonts w:ascii="Times New Roman" w:hAnsi="Times New Roman" w:cs="Times New Roman"/>
          <w:sz w:val="24"/>
          <w:szCs w:val="24"/>
        </w:rPr>
        <w:t>. na área de lavoura (</w:t>
      </w:r>
      <w:r w:rsidRPr="0088141F">
        <w:rPr>
          <w:rFonts w:ascii="Times New Roman" w:hAnsi="Times New Roman" w:cs="Times New Roman"/>
          <w:sz w:val="24"/>
          <w:szCs w:val="24"/>
        </w:rPr>
        <w:t>de 10,6% para 15,5%</w:t>
      </w:r>
      <w:r w:rsidR="00357EB5" w:rsidRPr="0088141F">
        <w:rPr>
          <w:rFonts w:ascii="Times New Roman" w:hAnsi="Times New Roman" w:cs="Times New Roman"/>
          <w:sz w:val="24"/>
          <w:szCs w:val="24"/>
        </w:rPr>
        <w:t>)</w:t>
      </w:r>
      <w:r w:rsidRPr="0088141F">
        <w:rPr>
          <w:rFonts w:ascii="Times New Roman" w:hAnsi="Times New Roman" w:cs="Times New Roman"/>
          <w:sz w:val="24"/>
          <w:szCs w:val="24"/>
        </w:rPr>
        <w:t>, o que demonstra que, no Brasil, houve expansão de lavouras em outros estados, entre as quais menciona-se a região denominada de MATOPIBA</w:t>
      </w:r>
      <w:r w:rsidRPr="0088141F">
        <w:rPr>
          <w:rStyle w:val="Refdenotaderodap"/>
          <w:rFonts w:ascii="Times New Roman" w:hAnsi="Times New Roman" w:cs="Times New Roman"/>
          <w:sz w:val="24"/>
          <w:szCs w:val="24"/>
        </w:rPr>
        <w:footnoteReference w:id="9"/>
      </w:r>
      <w:r w:rsidR="00FB6041" w:rsidRPr="0088141F">
        <w:rPr>
          <w:rFonts w:ascii="Times New Roman" w:hAnsi="Times New Roman" w:cs="Times New Roman"/>
          <w:sz w:val="24"/>
          <w:szCs w:val="24"/>
        </w:rPr>
        <w:t>.</w:t>
      </w:r>
      <w:r w:rsidR="00357EB5" w:rsidRPr="0088141F">
        <w:rPr>
          <w:rFonts w:ascii="Times New Roman" w:hAnsi="Times New Roman" w:cs="Times New Roman"/>
          <w:sz w:val="24"/>
          <w:szCs w:val="24"/>
        </w:rPr>
        <w:t xml:space="preserve"> </w:t>
      </w:r>
    </w:p>
    <w:p w14:paraId="0CC8B9C2" w14:textId="7A5043B2" w:rsidR="009C4C8B" w:rsidRPr="0088141F" w:rsidRDefault="009C4C8B" w:rsidP="009C4C8B">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lastRenderedPageBreak/>
        <w:t>No que se refere a</w:t>
      </w:r>
      <w:bookmarkStart w:id="13" w:name="_Toc535263373"/>
      <w:r w:rsidR="00D55B81" w:rsidRPr="0088141F">
        <w:rPr>
          <w:rFonts w:ascii="Times New Roman" w:hAnsi="Times New Roman" w:cs="Times New Roman"/>
          <w:sz w:val="24"/>
          <w:szCs w:val="24"/>
        </w:rPr>
        <w:t xml:space="preserve"> área de p</w:t>
      </w:r>
      <w:r w:rsidR="00F85230" w:rsidRPr="0088141F">
        <w:rPr>
          <w:rFonts w:ascii="Times New Roman" w:hAnsi="Times New Roman" w:cs="Times New Roman"/>
          <w:sz w:val="24"/>
          <w:szCs w:val="24"/>
        </w:rPr>
        <w:t>astagem</w:t>
      </w:r>
      <w:r w:rsidR="00D55B81" w:rsidRPr="0088141F">
        <w:rPr>
          <w:rFonts w:ascii="Times New Roman" w:hAnsi="Times New Roman" w:cs="Times New Roman"/>
          <w:sz w:val="24"/>
          <w:szCs w:val="24"/>
        </w:rPr>
        <w:t xml:space="preserve">, Mato Grosso </w:t>
      </w:r>
      <w:r w:rsidR="00F85230" w:rsidRPr="0088141F">
        <w:rPr>
          <w:rFonts w:ascii="Times New Roman" w:hAnsi="Times New Roman" w:cs="Times New Roman"/>
          <w:sz w:val="24"/>
          <w:szCs w:val="24"/>
        </w:rPr>
        <w:t>elevou</w:t>
      </w:r>
      <w:r w:rsidR="00D55B81" w:rsidRPr="0088141F">
        <w:rPr>
          <w:rFonts w:ascii="Times New Roman" w:hAnsi="Times New Roman" w:cs="Times New Roman"/>
          <w:sz w:val="24"/>
          <w:szCs w:val="24"/>
        </w:rPr>
        <w:t xml:space="preserve"> sua área em </w:t>
      </w:r>
      <w:r w:rsidR="00F85230" w:rsidRPr="0088141F">
        <w:rPr>
          <w:rFonts w:ascii="Times New Roman" w:hAnsi="Times New Roman" w:cs="Times New Roman"/>
          <w:sz w:val="24"/>
          <w:szCs w:val="24"/>
        </w:rPr>
        <w:t>4</w:t>
      </w:r>
      <w:r w:rsidR="00D55B81" w:rsidRPr="0088141F">
        <w:rPr>
          <w:rFonts w:ascii="Times New Roman" w:hAnsi="Times New Roman" w:cs="Times New Roman"/>
          <w:sz w:val="24"/>
          <w:szCs w:val="24"/>
        </w:rPr>
        <w:t>,</w:t>
      </w:r>
      <w:r w:rsidR="00F85230" w:rsidRPr="0088141F">
        <w:rPr>
          <w:rFonts w:ascii="Times New Roman" w:hAnsi="Times New Roman" w:cs="Times New Roman"/>
          <w:sz w:val="24"/>
          <w:szCs w:val="24"/>
        </w:rPr>
        <w:t>3</w:t>
      </w:r>
      <w:r w:rsidR="00D55B81" w:rsidRPr="0088141F">
        <w:rPr>
          <w:rFonts w:ascii="Times New Roman" w:hAnsi="Times New Roman" w:cs="Times New Roman"/>
          <w:sz w:val="24"/>
          <w:szCs w:val="24"/>
        </w:rPr>
        <w:t xml:space="preserve">%, </w:t>
      </w:r>
      <w:r w:rsidRPr="0088141F">
        <w:rPr>
          <w:rFonts w:ascii="Times New Roman" w:hAnsi="Times New Roman" w:cs="Times New Roman"/>
          <w:sz w:val="24"/>
          <w:szCs w:val="24"/>
        </w:rPr>
        <w:t xml:space="preserve">com um aumento de </w:t>
      </w:r>
      <w:r w:rsidR="00D55B81" w:rsidRPr="0088141F">
        <w:rPr>
          <w:rFonts w:ascii="Times New Roman" w:hAnsi="Times New Roman" w:cs="Times New Roman"/>
          <w:sz w:val="24"/>
          <w:szCs w:val="24"/>
        </w:rPr>
        <w:t xml:space="preserve">sua participação na respectiva área nacional em </w:t>
      </w:r>
      <w:r w:rsidR="00F85230" w:rsidRPr="0088141F">
        <w:rPr>
          <w:rFonts w:ascii="Times New Roman" w:hAnsi="Times New Roman" w:cs="Times New Roman"/>
          <w:sz w:val="24"/>
          <w:szCs w:val="24"/>
        </w:rPr>
        <w:t>apenas 0</w:t>
      </w:r>
      <w:r w:rsidR="00D55B81" w:rsidRPr="0088141F">
        <w:rPr>
          <w:rFonts w:ascii="Times New Roman" w:hAnsi="Times New Roman" w:cs="Times New Roman"/>
          <w:sz w:val="24"/>
          <w:szCs w:val="24"/>
        </w:rPr>
        <w:t>,</w:t>
      </w:r>
      <w:r w:rsidR="00F85230" w:rsidRPr="0088141F">
        <w:rPr>
          <w:rFonts w:ascii="Times New Roman" w:hAnsi="Times New Roman" w:cs="Times New Roman"/>
          <w:sz w:val="24"/>
          <w:szCs w:val="24"/>
        </w:rPr>
        <w:t>6 p</w:t>
      </w:r>
      <w:r w:rsidRPr="0088141F">
        <w:rPr>
          <w:rFonts w:ascii="Times New Roman" w:hAnsi="Times New Roman" w:cs="Times New Roman"/>
          <w:sz w:val="24"/>
          <w:szCs w:val="24"/>
        </w:rPr>
        <w:t>.</w:t>
      </w:r>
      <w:r w:rsidR="00F85230" w:rsidRPr="0088141F">
        <w:rPr>
          <w:rFonts w:ascii="Times New Roman" w:hAnsi="Times New Roman" w:cs="Times New Roman"/>
          <w:sz w:val="24"/>
          <w:szCs w:val="24"/>
        </w:rPr>
        <w:t xml:space="preserve"> p</w:t>
      </w:r>
      <w:r w:rsidRPr="0088141F">
        <w:rPr>
          <w:rFonts w:ascii="Times New Roman" w:hAnsi="Times New Roman" w:cs="Times New Roman"/>
          <w:sz w:val="24"/>
          <w:szCs w:val="24"/>
        </w:rPr>
        <w:t>. (de 13,8% para 14,4%)</w:t>
      </w:r>
      <w:r w:rsidR="00D55B81" w:rsidRPr="0088141F">
        <w:rPr>
          <w:rFonts w:ascii="Times New Roman" w:hAnsi="Times New Roman" w:cs="Times New Roman"/>
          <w:sz w:val="24"/>
          <w:szCs w:val="24"/>
        </w:rPr>
        <w:t xml:space="preserve">. </w:t>
      </w:r>
      <w:r w:rsidR="00357EB5" w:rsidRPr="0088141F">
        <w:rPr>
          <w:rFonts w:ascii="Times New Roman" w:hAnsi="Times New Roman" w:cs="Times New Roman"/>
          <w:sz w:val="24"/>
          <w:szCs w:val="24"/>
        </w:rPr>
        <w:t>Os dados apresentados na próxima seção indicam, ainda que tímido, um aumento da produtividade das áreas de pastagem estadual.</w:t>
      </w:r>
    </w:p>
    <w:p w14:paraId="0B8AF124" w14:textId="7B1E50F4" w:rsidR="00D55B81" w:rsidRPr="0088141F" w:rsidRDefault="009C4C8B" w:rsidP="00765D47">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Por sua vez, </w:t>
      </w:r>
      <w:r w:rsidR="00D55B81" w:rsidRPr="0088141F">
        <w:rPr>
          <w:rFonts w:ascii="Times New Roman" w:hAnsi="Times New Roman" w:cs="Times New Roman"/>
          <w:sz w:val="24"/>
          <w:szCs w:val="24"/>
        </w:rPr>
        <w:t xml:space="preserve">as áreas de mata ou floresta </w:t>
      </w:r>
      <w:r w:rsidRPr="0088141F">
        <w:rPr>
          <w:rFonts w:ascii="Times New Roman" w:hAnsi="Times New Roman" w:cs="Times New Roman"/>
          <w:sz w:val="24"/>
          <w:szCs w:val="24"/>
        </w:rPr>
        <w:t>tiveram um crescimento de 9,2% no estado,</w:t>
      </w:r>
      <w:r w:rsidR="00462B02" w:rsidRPr="0088141F">
        <w:rPr>
          <w:rFonts w:ascii="Times New Roman" w:hAnsi="Times New Roman" w:cs="Times New Roman"/>
          <w:sz w:val="24"/>
          <w:szCs w:val="24"/>
        </w:rPr>
        <w:t xml:space="preserve"> mas com uma queda na participação nacional de 19,2% para 18,2%. O crescimento da área de matas ou florestas pode</w:t>
      </w:r>
      <w:r w:rsidR="00357EB5" w:rsidRPr="0088141F">
        <w:rPr>
          <w:rFonts w:ascii="Times New Roman" w:hAnsi="Times New Roman" w:cs="Times New Roman"/>
          <w:sz w:val="24"/>
          <w:szCs w:val="24"/>
        </w:rPr>
        <w:t xml:space="preserve"> ser</w:t>
      </w:r>
      <w:r w:rsidR="00462B02" w:rsidRPr="0088141F">
        <w:rPr>
          <w:rFonts w:ascii="Times New Roman" w:hAnsi="Times New Roman" w:cs="Times New Roman"/>
          <w:sz w:val="24"/>
          <w:szCs w:val="24"/>
        </w:rPr>
        <w:t xml:space="preserve"> explicado, em grande medida, pela variação da área de floresta plantada que passou de 69,7 mil para 201,1 mil hectares no período. No entanto, houve também um crescimento da área de matas e florestas naturais, porém </w:t>
      </w:r>
      <w:r w:rsidR="00FC4B46" w:rsidRPr="0088141F">
        <w:rPr>
          <w:rFonts w:ascii="Times New Roman" w:hAnsi="Times New Roman" w:cs="Times New Roman"/>
          <w:sz w:val="24"/>
          <w:szCs w:val="24"/>
        </w:rPr>
        <w:t>esse</w:t>
      </w:r>
      <w:r w:rsidR="00462B02" w:rsidRPr="0088141F">
        <w:rPr>
          <w:rFonts w:ascii="Times New Roman" w:hAnsi="Times New Roman" w:cs="Times New Roman"/>
          <w:sz w:val="24"/>
          <w:szCs w:val="24"/>
        </w:rPr>
        <w:t xml:space="preserve"> indicador é de difícil avaliação, pois </w:t>
      </w:r>
      <w:r w:rsidR="00FC4B46" w:rsidRPr="0088141F">
        <w:rPr>
          <w:rFonts w:ascii="Times New Roman" w:hAnsi="Times New Roman" w:cs="Times New Roman"/>
          <w:sz w:val="24"/>
          <w:szCs w:val="24"/>
        </w:rPr>
        <w:t xml:space="preserve">inclui </w:t>
      </w:r>
      <w:r w:rsidR="00462B02" w:rsidRPr="0088141F">
        <w:rPr>
          <w:rFonts w:ascii="Times New Roman" w:hAnsi="Times New Roman" w:cs="Times New Roman"/>
          <w:sz w:val="24"/>
          <w:szCs w:val="24"/>
        </w:rPr>
        <w:t>novas divisões no Censo Agropecuário</w:t>
      </w:r>
      <w:r w:rsidR="00FC4B46" w:rsidRPr="0088141F">
        <w:rPr>
          <w:rFonts w:ascii="Times New Roman" w:hAnsi="Times New Roman" w:cs="Times New Roman"/>
          <w:sz w:val="24"/>
          <w:szCs w:val="24"/>
        </w:rPr>
        <w:t xml:space="preserve"> de 2017, como</w:t>
      </w:r>
      <w:r w:rsidR="00357EB5" w:rsidRPr="0088141F">
        <w:rPr>
          <w:rFonts w:ascii="Times New Roman" w:hAnsi="Times New Roman" w:cs="Times New Roman"/>
          <w:sz w:val="24"/>
          <w:szCs w:val="24"/>
        </w:rPr>
        <w:t xml:space="preserve"> a inclusão de</w:t>
      </w:r>
      <w:r w:rsidR="00FC4B46" w:rsidRPr="0088141F">
        <w:rPr>
          <w:rFonts w:ascii="Times New Roman" w:hAnsi="Times New Roman" w:cs="Times New Roman"/>
          <w:sz w:val="24"/>
          <w:szCs w:val="24"/>
        </w:rPr>
        <w:t xml:space="preserve"> áreas naturais de extrativismo ou manejo florestal sustentável. Quando analisada exclusivamente a classe mata e floresta destinadas à preservação permanente ou reserva legal</w:t>
      </w:r>
      <w:r w:rsidR="00C93789" w:rsidRPr="0088141F">
        <w:rPr>
          <w:rFonts w:ascii="Times New Roman" w:hAnsi="Times New Roman" w:cs="Times New Roman"/>
          <w:sz w:val="24"/>
          <w:szCs w:val="24"/>
        </w:rPr>
        <w:t>, ao contrário, houve uma redução de área de 19,1 para 17,4 milhões de hectares.</w:t>
      </w:r>
      <w:r w:rsidR="00765D47" w:rsidRPr="0088141F">
        <w:rPr>
          <w:rFonts w:ascii="Times New Roman" w:hAnsi="Times New Roman" w:cs="Times New Roman"/>
          <w:sz w:val="24"/>
          <w:szCs w:val="24"/>
        </w:rPr>
        <w:t xml:space="preserve"> </w:t>
      </w:r>
      <w:r w:rsidR="005E534D" w:rsidRPr="0088141F">
        <w:rPr>
          <w:rFonts w:ascii="Times New Roman" w:hAnsi="Times New Roman" w:cs="Times New Roman"/>
          <w:sz w:val="24"/>
          <w:szCs w:val="24"/>
        </w:rPr>
        <w:t xml:space="preserve">Tal situação carece de mais investigação, </w:t>
      </w:r>
      <w:r w:rsidR="00765D47" w:rsidRPr="0088141F">
        <w:rPr>
          <w:rFonts w:ascii="Times New Roman" w:hAnsi="Times New Roman" w:cs="Times New Roman"/>
          <w:sz w:val="24"/>
          <w:szCs w:val="24"/>
        </w:rPr>
        <w:t>especialmente</w:t>
      </w:r>
      <w:r w:rsidR="005E534D" w:rsidRPr="0088141F">
        <w:rPr>
          <w:rFonts w:ascii="Times New Roman" w:hAnsi="Times New Roman" w:cs="Times New Roman"/>
          <w:sz w:val="24"/>
          <w:szCs w:val="24"/>
        </w:rPr>
        <w:t>,</w:t>
      </w:r>
      <w:r w:rsidR="00765D47" w:rsidRPr="0088141F">
        <w:rPr>
          <w:rFonts w:ascii="Times New Roman" w:hAnsi="Times New Roman" w:cs="Times New Roman"/>
          <w:sz w:val="24"/>
          <w:szCs w:val="24"/>
        </w:rPr>
        <w:t xml:space="preserve"> quando</w:t>
      </w:r>
      <w:r w:rsidR="005E534D" w:rsidRPr="0088141F">
        <w:rPr>
          <w:rFonts w:ascii="Times New Roman" w:hAnsi="Times New Roman" w:cs="Times New Roman"/>
          <w:sz w:val="24"/>
          <w:szCs w:val="24"/>
        </w:rPr>
        <w:t xml:space="preserve"> as mudanças do Código Florestal, em 2012, pode</w:t>
      </w:r>
      <w:r w:rsidR="00765D47" w:rsidRPr="0088141F">
        <w:rPr>
          <w:rFonts w:ascii="Times New Roman" w:hAnsi="Times New Roman" w:cs="Times New Roman"/>
          <w:sz w:val="24"/>
          <w:szCs w:val="24"/>
        </w:rPr>
        <w:t>m</w:t>
      </w:r>
      <w:r w:rsidR="005E534D" w:rsidRPr="0088141F">
        <w:rPr>
          <w:rFonts w:ascii="Times New Roman" w:hAnsi="Times New Roman" w:cs="Times New Roman"/>
          <w:sz w:val="24"/>
          <w:szCs w:val="24"/>
        </w:rPr>
        <w:t xml:space="preserve"> ter </w:t>
      </w:r>
      <w:r w:rsidR="00464C88">
        <w:rPr>
          <w:rFonts w:ascii="Times New Roman" w:hAnsi="Times New Roman" w:cs="Times New Roman"/>
          <w:sz w:val="24"/>
          <w:szCs w:val="24"/>
        </w:rPr>
        <w:t>favorecido</w:t>
      </w:r>
      <w:r w:rsidR="005E534D" w:rsidRPr="0088141F">
        <w:rPr>
          <w:rFonts w:ascii="Times New Roman" w:hAnsi="Times New Roman" w:cs="Times New Roman"/>
          <w:sz w:val="24"/>
          <w:szCs w:val="24"/>
        </w:rPr>
        <w:t xml:space="preserve"> </w:t>
      </w:r>
      <w:r w:rsidR="00D55B81" w:rsidRPr="0088141F">
        <w:rPr>
          <w:rFonts w:ascii="Times New Roman" w:hAnsi="Times New Roman" w:cs="Times New Roman"/>
          <w:sz w:val="24"/>
          <w:szCs w:val="24"/>
        </w:rPr>
        <w:t>a redução de áreas protegidas e o uso de maiores extensões pelos proprietários rurais</w:t>
      </w:r>
      <w:r w:rsidR="005E534D" w:rsidRPr="0088141F">
        <w:rPr>
          <w:rFonts w:ascii="Times New Roman" w:hAnsi="Times New Roman" w:cs="Times New Roman"/>
          <w:sz w:val="24"/>
          <w:szCs w:val="24"/>
        </w:rPr>
        <w:t>, com compensação em outras locais</w:t>
      </w:r>
      <w:r w:rsidR="00D55B81" w:rsidRPr="0088141F">
        <w:rPr>
          <w:rStyle w:val="Refdenotaderodap"/>
          <w:rFonts w:ascii="Times New Roman" w:hAnsi="Times New Roman" w:cs="Times New Roman"/>
          <w:sz w:val="24"/>
          <w:szCs w:val="24"/>
        </w:rPr>
        <w:footnoteReference w:id="10"/>
      </w:r>
      <w:r w:rsidR="00D55B81" w:rsidRPr="0088141F">
        <w:rPr>
          <w:rFonts w:ascii="Times New Roman" w:hAnsi="Times New Roman" w:cs="Times New Roman"/>
          <w:sz w:val="24"/>
          <w:szCs w:val="24"/>
        </w:rPr>
        <w:t xml:space="preserve"> (RORIZ e FEARNSIDE, 2015).</w:t>
      </w:r>
    </w:p>
    <w:p w14:paraId="133D8AC7" w14:textId="77777777" w:rsidR="00977B76" w:rsidRPr="0088141F" w:rsidRDefault="00977B76" w:rsidP="00AF5703">
      <w:pPr>
        <w:tabs>
          <w:tab w:val="left" w:pos="1365"/>
        </w:tabs>
        <w:spacing w:after="0" w:line="240" w:lineRule="auto"/>
        <w:jc w:val="both"/>
        <w:rPr>
          <w:rFonts w:ascii="Times New Roman" w:hAnsi="Times New Roman" w:cs="Times New Roman"/>
          <w:b/>
          <w:sz w:val="24"/>
          <w:szCs w:val="24"/>
        </w:rPr>
      </w:pPr>
    </w:p>
    <w:p w14:paraId="3B01B7F4" w14:textId="77777777" w:rsidR="00977B76" w:rsidRPr="0088141F" w:rsidRDefault="00977B76" w:rsidP="00AF5703">
      <w:pPr>
        <w:spacing w:after="0" w:line="240" w:lineRule="auto"/>
        <w:jc w:val="both"/>
        <w:rPr>
          <w:rFonts w:ascii="Times New Roman" w:hAnsi="Times New Roman" w:cs="Times New Roman"/>
          <w:b/>
          <w:sz w:val="24"/>
          <w:szCs w:val="24"/>
        </w:rPr>
      </w:pPr>
      <w:bookmarkStart w:id="14" w:name="_Toc2204407"/>
      <w:r w:rsidRPr="0088141F">
        <w:rPr>
          <w:rFonts w:ascii="Times New Roman" w:hAnsi="Times New Roman" w:cs="Times New Roman"/>
          <w:b/>
          <w:sz w:val="24"/>
          <w:szCs w:val="24"/>
        </w:rPr>
        <w:t xml:space="preserve">Tabela </w:t>
      </w:r>
      <w:r w:rsidR="00AF5703" w:rsidRPr="0088141F">
        <w:rPr>
          <w:rFonts w:ascii="Times New Roman" w:hAnsi="Times New Roman" w:cs="Times New Roman"/>
          <w:b/>
          <w:sz w:val="24"/>
          <w:szCs w:val="24"/>
        </w:rPr>
        <w:t>2</w:t>
      </w:r>
      <w:r w:rsidRPr="0088141F">
        <w:rPr>
          <w:rFonts w:ascii="Times New Roman" w:hAnsi="Times New Roman" w:cs="Times New Roman"/>
          <w:b/>
          <w:sz w:val="24"/>
          <w:szCs w:val="24"/>
        </w:rPr>
        <w:t>: Evolução de Indicadores do Uso da Terra dos Estabelecimentos do Estado de Mato Grosso e Participação nos Indicadores do Brasil, para os Censos de 2006 e 2017.</w:t>
      </w:r>
      <w:bookmarkEnd w:id="13"/>
      <w:bookmarkEnd w:id="14"/>
    </w:p>
    <w:tbl>
      <w:tblPr>
        <w:tblW w:w="9060" w:type="dxa"/>
        <w:tblCellMar>
          <w:left w:w="70" w:type="dxa"/>
          <w:right w:w="70" w:type="dxa"/>
        </w:tblCellMar>
        <w:tblLook w:val="04A0" w:firstRow="1" w:lastRow="0" w:firstColumn="1" w:lastColumn="0" w:noHBand="0" w:noVBand="1"/>
      </w:tblPr>
      <w:tblGrid>
        <w:gridCol w:w="3402"/>
        <w:gridCol w:w="1276"/>
        <w:gridCol w:w="873"/>
        <w:gridCol w:w="1395"/>
        <w:gridCol w:w="924"/>
        <w:gridCol w:w="1190"/>
      </w:tblGrid>
      <w:tr w:rsidR="00D55B81" w:rsidRPr="0088141F" w14:paraId="5847662C" w14:textId="77777777" w:rsidTr="007B0CCB">
        <w:trPr>
          <w:trHeight w:val="315"/>
        </w:trPr>
        <w:tc>
          <w:tcPr>
            <w:tcW w:w="3402" w:type="dxa"/>
            <w:tcBorders>
              <w:top w:val="single" w:sz="8" w:space="0" w:color="auto"/>
              <w:left w:val="nil"/>
              <w:bottom w:val="nil"/>
              <w:right w:val="nil"/>
            </w:tcBorders>
            <w:shd w:val="clear" w:color="auto" w:fill="auto"/>
            <w:noWrap/>
            <w:vAlign w:val="center"/>
            <w:hideMark/>
          </w:tcPr>
          <w:p w14:paraId="4BFAE64E"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INDICADOR</w:t>
            </w:r>
          </w:p>
        </w:tc>
        <w:tc>
          <w:tcPr>
            <w:tcW w:w="2149" w:type="dxa"/>
            <w:gridSpan w:val="2"/>
            <w:tcBorders>
              <w:top w:val="single" w:sz="8" w:space="0" w:color="auto"/>
              <w:left w:val="nil"/>
              <w:bottom w:val="single" w:sz="8" w:space="0" w:color="auto"/>
              <w:right w:val="nil"/>
            </w:tcBorders>
            <w:shd w:val="clear" w:color="auto" w:fill="auto"/>
            <w:noWrap/>
            <w:vAlign w:val="center"/>
            <w:hideMark/>
          </w:tcPr>
          <w:p w14:paraId="73620FEE"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2006</w:t>
            </w:r>
          </w:p>
        </w:tc>
        <w:tc>
          <w:tcPr>
            <w:tcW w:w="2314" w:type="dxa"/>
            <w:gridSpan w:val="2"/>
            <w:tcBorders>
              <w:top w:val="single" w:sz="8" w:space="0" w:color="auto"/>
              <w:left w:val="nil"/>
              <w:bottom w:val="single" w:sz="8" w:space="0" w:color="auto"/>
              <w:right w:val="nil"/>
            </w:tcBorders>
            <w:shd w:val="clear" w:color="auto" w:fill="auto"/>
            <w:noWrap/>
            <w:vAlign w:val="center"/>
            <w:hideMark/>
          </w:tcPr>
          <w:p w14:paraId="140A1640"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2017</w:t>
            </w:r>
          </w:p>
        </w:tc>
        <w:tc>
          <w:tcPr>
            <w:tcW w:w="1190" w:type="dxa"/>
            <w:tcBorders>
              <w:top w:val="single" w:sz="8" w:space="0" w:color="auto"/>
              <w:left w:val="nil"/>
              <w:bottom w:val="nil"/>
              <w:right w:val="nil"/>
            </w:tcBorders>
            <w:shd w:val="clear" w:color="auto" w:fill="auto"/>
            <w:vAlign w:val="center"/>
            <w:hideMark/>
          </w:tcPr>
          <w:p w14:paraId="6204413B"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Variação %</w:t>
            </w:r>
          </w:p>
        </w:tc>
      </w:tr>
      <w:tr w:rsidR="00D55B81" w:rsidRPr="0088141F" w14:paraId="7DC5FDD1" w14:textId="77777777" w:rsidTr="007B0CCB">
        <w:trPr>
          <w:trHeight w:val="300"/>
        </w:trPr>
        <w:tc>
          <w:tcPr>
            <w:tcW w:w="3402" w:type="dxa"/>
            <w:vMerge w:val="restart"/>
            <w:tcBorders>
              <w:top w:val="single" w:sz="8" w:space="0" w:color="auto"/>
              <w:left w:val="nil"/>
              <w:bottom w:val="single" w:sz="8" w:space="0" w:color="000000"/>
              <w:right w:val="nil"/>
            </w:tcBorders>
            <w:shd w:val="clear" w:color="auto" w:fill="auto"/>
            <w:noWrap/>
            <w:vAlign w:val="center"/>
            <w:hideMark/>
          </w:tcPr>
          <w:p w14:paraId="46279BD9" w14:textId="77777777" w:rsidR="00D55B81" w:rsidRPr="0088141F" w:rsidRDefault="00D55B81" w:rsidP="00D55B81">
            <w:pPr>
              <w:spacing w:after="0" w:line="240" w:lineRule="auto"/>
              <w:jc w:val="both"/>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w:t>
            </w:r>
          </w:p>
        </w:tc>
        <w:tc>
          <w:tcPr>
            <w:tcW w:w="1276" w:type="dxa"/>
            <w:vMerge w:val="restart"/>
            <w:tcBorders>
              <w:top w:val="nil"/>
              <w:left w:val="nil"/>
              <w:bottom w:val="single" w:sz="8" w:space="0" w:color="000000"/>
              <w:right w:val="nil"/>
            </w:tcBorders>
            <w:shd w:val="clear" w:color="auto" w:fill="auto"/>
            <w:noWrap/>
            <w:vAlign w:val="center"/>
            <w:hideMark/>
          </w:tcPr>
          <w:p w14:paraId="6543CE02" w14:textId="77777777" w:rsidR="0076756F" w:rsidRDefault="007B0CCB" w:rsidP="00D55B81">
            <w:pPr>
              <w:spacing w:after="0" w:line="240" w:lineRule="auto"/>
              <w:ind w:left="52" w:hanging="52"/>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 xml:space="preserve">Mato </w:t>
            </w:r>
          </w:p>
          <w:p w14:paraId="7892A2F4" w14:textId="57C615EB" w:rsidR="00D55B81" w:rsidRPr="0088141F" w:rsidRDefault="007B0CCB" w:rsidP="00D55B81">
            <w:pPr>
              <w:spacing w:after="0" w:line="240" w:lineRule="auto"/>
              <w:ind w:left="52" w:hanging="52"/>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Grosso</w:t>
            </w:r>
          </w:p>
        </w:tc>
        <w:tc>
          <w:tcPr>
            <w:tcW w:w="873" w:type="dxa"/>
            <w:tcBorders>
              <w:top w:val="nil"/>
              <w:left w:val="nil"/>
              <w:bottom w:val="nil"/>
              <w:right w:val="nil"/>
            </w:tcBorders>
            <w:shd w:val="clear" w:color="auto" w:fill="auto"/>
            <w:noWrap/>
            <w:vAlign w:val="center"/>
            <w:hideMark/>
          </w:tcPr>
          <w:p w14:paraId="2C8263A7"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Part. %</w:t>
            </w:r>
          </w:p>
        </w:tc>
        <w:tc>
          <w:tcPr>
            <w:tcW w:w="1395" w:type="dxa"/>
            <w:vMerge w:val="restart"/>
            <w:tcBorders>
              <w:top w:val="nil"/>
              <w:left w:val="nil"/>
              <w:bottom w:val="single" w:sz="8" w:space="0" w:color="000000"/>
              <w:right w:val="nil"/>
            </w:tcBorders>
            <w:shd w:val="clear" w:color="auto" w:fill="auto"/>
            <w:noWrap/>
            <w:vAlign w:val="center"/>
            <w:hideMark/>
          </w:tcPr>
          <w:p w14:paraId="26E2CCB6" w14:textId="77777777" w:rsidR="0076756F" w:rsidRDefault="007B0CCB"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 xml:space="preserve">Mato </w:t>
            </w:r>
          </w:p>
          <w:p w14:paraId="2135BEA2" w14:textId="7543034E" w:rsidR="00D55B81" w:rsidRPr="0088141F" w:rsidRDefault="007B0CCB"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Grosso</w:t>
            </w:r>
          </w:p>
        </w:tc>
        <w:tc>
          <w:tcPr>
            <w:tcW w:w="924" w:type="dxa"/>
            <w:tcBorders>
              <w:top w:val="nil"/>
              <w:left w:val="nil"/>
              <w:bottom w:val="nil"/>
              <w:right w:val="nil"/>
            </w:tcBorders>
            <w:shd w:val="clear" w:color="auto" w:fill="auto"/>
            <w:noWrap/>
            <w:vAlign w:val="center"/>
            <w:hideMark/>
          </w:tcPr>
          <w:p w14:paraId="25DF12D6"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Part. %</w:t>
            </w:r>
          </w:p>
        </w:tc>
        <w:tc>
          <w:tcPr>
            <w:tcW w:w="1190" w:type="dxa"/>
            <w:tcBorders>
              <w:top w:val="nil"/>
              <w:left w:val="nil"/>
              <w:bottom w:val="nil"/>
              <w:right w:val="nil"/>
            </w:tcBorders>
            <w:shd w:val="clear" w:color="auto" w:fill="auto"/>
            <w:vAlign w:val="center"/>
            <w:hideMark/>
          </w:tcPr>
          <w:p w14:paraId="79E2683E"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2006/2017</w:t>
            </w:r>
          </w:p>
        </w:tc>
      </w:tr>
      <w:tr w:rsidR="00D55B81" w:rsidRPr="0088141F" w14:paraId="6C47EA06" w14:textId="77777777" w:rsidTr="0076756F">
        <w:trPr>
          <w:trHeight w:val="60"/>
        </w:trPr>
        <w:tc>
          <w:tcPr>
            <w:tcW w:w="3402" w:type="dxa"/>
            <w:vMerge/>
            <w:tcBorders>
              <w:top w:val="single" w:sz="8" w:space="0" w:color="auto"/>
              <w:left w:val="nil"/>
              <w:bottom w:val="single" w:sz="4" w:space="0" w:color="auto"/>
              <w:right w:val="nil"/>
            </w:tcBorders>
            <w:vAlign w:val="center"/>
            <w:hideMark/>
          </w:tcPr>
          <w:p w14:paraId="2FA73F53" w14:textId="77777777" w:rsidR="00D55B81" w:rsidRPr="0088141F" w:rsidRDefault="00D55B81" w:rsidP="00D55B81">
            <w:pPr>
              <w:spacing w:after="0" w:line="240" w:lineRule="auto"/>
              <w:rPr>
                <w:rFonts w:ascii="Times New Roman" w:eastAsia="Times New Roman" w:hAnsi="Times New Roman" w:cs="Times New Roman"/>
                <w:sz w:val="20"/>
                <w:szCs w:val="20"/>
              </w:rPr>
            </w:pPr>
          </w:p>
        </w:tc>
        <w:tc>
          <w:tcPr>
            <w:tcW w:w="1276" w:type="dxa"/>
            <w:vMerge/>
            <w:tcBorders>
              <w:top w:val="nil"/>
              <w:left w:val="nil"/>
              <w:bottom w:val="single" w:sz="4" w:space="0" w:color="auto"/>
              <w:right w:val="nil"/>
            </w:tcBorders>
            <w:vAlign w:val="center"/>
            <w:hideMark/>
          </w:tcPr>
          <w:p w14:paraId="3E352B7E"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p>
        </w:tc>
        <w:tc>
          <w:tcPr>
            <w:tcW w:w="873" w:type="dxa"/>
            <w:tcBorders>
              <w:top w:val="nil"/>
              <w:left w:val="nil"/>
              <w:bottom w:val="single" w:sz="4" w:space="0" w:color="auto"/>
              <w:right w:val="nil"/>
            </w:tcBorders>
            <w:shd w:val="clear" w:color="auto" w:fill="auto"/>
            <w:noWrap/>
            <w:vAlign w:val="center"/>
            <w:hideMark/>
          </w:tcPr>
          <w:p w14:paraId="18D26089"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Brasil</w:t>
            </w:r>
          </w:p>
        </w:tc>
        <w:tc>
          <w:tcPr>
            <w:tcW w:w="1395" w:type="dxa"/>
            <w:vMerge/>
            <w:tcBorders>
              <w:top w:val="nil"/>
              <w:left w:val="nil"/>
              <w:bottom w:val="single" w:sz="4" w:space="0" w:color="auto"/>
              <w:right w:val="nil"/>
            </w:tcBorders>
            <w:vAlign w:val="center"/>
            <w:hideMark/>
          </w:tcPr>
          <w:p w14:paraId="59CE207D"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p>
        </w:tc>
        <w:tc>
          <w:tcPr>
            <w:tcW w:w="924" w:type="dxa"/>
            <w:tcBorders>
              <w:top w:val="nil"/>
              <w:left w:val="nil"/>
              <w:bottom w:val="single" w:sz="4" w:space="0" w:color="auto"/>
              <w:right w:val="nil"/>
            </w:tcBorders>
            <w:shd w:val="clear" w:color="auto" w:fill="auto"/>
            <w:noWrap/>
            <w:vAlign w:val="center"/>
            <w:hideMark/>
          </w:tcPr>
          <w:p w14:paraId="53C14881"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Brasil</w:t>
            </w:r>
          </w:p>
        </w:tc>
        <w:tc>
          <w:tcPr>
            <w:tcW w:w="1190" w:type="dxa"/>
            <w:tcBorders>
              <w:top w:val="nil"/>
              <w:left w:val="nil"/>
              <w:bottom w:val="single" w:sz="4" w:space="0" w:color="auto"/>
              <w:right w:val="nil"/>
            </w:tcBorders>
            <w:shd w:val="clear" w:color="auto" w:fill="auto"/>
            <w:hideMark/>
          </w:tcPr>
          <w:p w14:paraId="390768B0" w14:textId="77777777" w:rsidR="00D55B81" w:rsidRPr="0088141F" w:rsidRDefault="00D55B81" w:rsidP="00D55B81">
            <w:pPr>
              <w:spacing w:after="0" w:line="240" w:lineRule="auto"/>
              <w:jc w:val="center"/>
              <w:rPr>
                <w:rFonts w:ascii="Times New Roman" w:eastAsia="Times New Roman" w:hAnsi="Times New Roman" w:cs="Times New Roman"/>
                <w:b/>
                <w:bCs/>
                <w:sz w:val="20"/>
                <w:szCs w:val="20"/>
              </w:rPr>
            </w:pPr>
          </w:p>
        </w:tc>
      </w:tr>
      <w:tr w:rsidR="00D55B81" w:rsidRPr="0088141F" w14:paraId="0CE79DC2" w14:textId="77777777" w:rsidTr="00357EB5">
        <w:trPr>
          <w:trHeight w:val="20"/>
        </w:trPr>
        <w:tc>
          <w:tcPr>
            <w:tcW w:w="3402" w:type="dxa"/>
            <w:tcBorders>
              <w:top w:val="single" w:sz="4" w:space="0" w:color="auto"/>
              <w:left w:val="nil"/>
              <w:bottom w:val="single" w:sz="4" w:space="0" w:color="auto"/>
              <w:right w:val="nil"/>
            </w:tcBorders>
            <w:shd w:val="clear" w:color="auto" w:fill="auto"/>
            <w:noWrap/>
            <w:vAlign w:val="bottom"/>
            <w:hideMark/>
          </w:tcPr>
          <w:p w14:paraId="1DE9C9F7"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N. Estabelecimentos</w:t>
            </w:r>
          </w:p>
        </w:tc>
        <w:tc>
          <w:tcPr>
            <w:tcW w:w="1276" w:type="dxa"/>
            <w:tcBorders>
              <w:top w:val="single" w:sz="4" w:space="0" w:color="auto"/>
              <w:left w:val="nil"/>
              <w:bottom w:val="single" w:sz="4" w:space="0" w:color="auto"/>
              <w:right w:val="nil"/>
            </w:tcBorders>
            <w:shd w:val="clear" w:color="auto" w:fill="auto"/>
            <w:noWrap/>
            <w:vAlign w:val="bottom"/>
            <w:hideMark/>
          </w:tcPr>
          <w:p w14:paraId="2CF5BDDB"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112.987</w:t>
            </w:r>
          </w:p>
        </w:tc>
        <w:tc>
          <w:tcPr>
            <w:tcW w:w="873" w:type="dxa"/>
            <w:tcBorders>
              <w:top w:val="single" w:sz="4" w:space="0" w:color="auto"/>
              <w:left w:val="nil"/>
              <w:bottom w:val="single" w:sz="4" w:space="0" w:color="auto"/>
              <w:right w:val="nil"/>
            </w:tcBorders>
            <w:shd w:val="clear" w:color="auto" w:fill="auto"/>
            <w:noWrap/>
            <w:vAlign w:val="bottom"/>
            <w:hideMark/>
          </w:tcPr>
          <w:p w14:paraId="6A814C1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2,2</w:t>
            </w:r>
          </w:p>
        </w:tc>
        <w:tc>
          <w:tcPr>
            <w:tcW w:w="1395" w:type="dxa"/>
            <w:tcBorders>
              <w:top w:val="single" w:sz="4" w:space="0" w:color="auto"/>
              <w:left w:val="nil"/>
              <w:bottom w:val="single" w:sz="4" w:space="0" w:color="auto"/>
              <w:right w:val="nil"/>
            </w:tcBorders>
            <w:shd w:val="clear" w:color="auto" w:fill="auto"/>
            <w:noWrap/>
            <w:vAlign w:val="bottom"/>
            <w:hideMark/>
          </w:tcPr>
          <w:p w14:paraId="7D508D1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118.679</w:t>
            </w:r>
          </w:p>
        </w:tc>
        <w:tc>
          <w:tcPr>
            <w:tcW w:w="924" w:type="dxa"/>
            <w:tcBorders>
              <w:top w:val="single" w:sz="4" w:space="0" w:color="auto"/>
              <w:left w:val="nil"/>
              <w:bottom w:val="single" w:sz="4" w:space="0" w:color="auto"/>
              <w:right w:val="nil"/>
            </w:tcBorders>
            <w:shd w:val="clear" w:color="auto" w:fill="auto"/>
            <w:noWrap/>
            <w:vAlign w:val="bottom"/>
            <w:hideMark/>
          </w:tcPr>
          <w:p w14:paraId="16413519"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2,3</w:t>
            </w:r>
          </w:p>
        </w:tc>
        <w:tc>
          <w:tcPr>
            <w:tcW w:w="1190" w:type="dxa"/>
            <w:tcBorders>
              <w:top w:val="single" w:sz="4" w:space="0" w:color="auto"/>
              <w:left w:val="nil"/>
              <w:bottom w:val="single" w:sz="4" w:space="0" w:color="auto"/>
              <w:right w:val="nil"/>
            </w:tcBorders>
            <w:shd w:val="clear" w:color="auto" w:fill="auto"/>
            <w:noWrap/>
            <w:vAlign w:val="bottom"/>
            <w:hideMark/>
          </w:tcPr>
          <w:p w14:paraId="5E9ECB3C"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5,0</w:t>
            </w:r>
          </w:p>
        </w:tc>
      </w:tr>
      <w:tr w:rsidR="00D55B81" w:rsidRPr="0088141F" w14:paraId="2B0951AD" w14:textId="77777777" w:rsidTr="00357EB5">
        <w:trPr>
          <w:trHeight w:val="20"/>
        </w:trPr>
        <w:tc>
          <w:tcPr>
            <w:tcW w:w="3402" w:type="dxa"/>
            <w:tcBorders>
              <w:top w:val="single" w:sz="4" w:space="0" w:color="auto"/>
              <w:left w:val="nil"/>
              <w:bottom w:val="nil"/>
              <w:right w:val="nil"/>
            </w:tcBorders>
            <w:shd w:val="clear" w:color="auto" w:fill="auto"/>
            <w:noWrap/>
            <w:vAlign w:val="bottom"/>
            <w:hideMark/>
          </w:tcPr>
          <w:p w14:paraId="2C9BD09A"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Área Total</w:t>
            </w:r>
          </w:p>
        </w:tc>
        <w:tc>
          <w:tcPr>
            <w:tcW w:w="1276" w:type="dxa"/>
            <w:tcBorders>
              <w:top w:val="single" w:sz="4" w:space="0" w:color="auto"/>
              <w:left w:val="nil"/>
              <w:bottom w:val="nil"/>
              <w:right w:val="nil"/>
            </w:tcBorders>
            <w:shd w:val="clear" w:color="auto" w:fill="auto"/>
            <w:noWrap/>
            <w:vAlign w:val="bottom"/>
            <w:hideMark/>
          </w:tcPr>
          <w:p w14:paraId="709E7577"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48.688.711</w:t>
            </w:r>
          </w:p>
        </w:tc>
        <w:tc>
          <w:tcPr>
            <w:tcW w:w="873" w:type="dxa"/>
            <w:tcBorders>
              <w:top w:val="single" w:sz="4" w:space="0" w:color="auto"/>
              <w:left w:val="nil"/>
              <w:bottom w:val="nil"/>
              <w:right w:val="nil"/>
            </w:tcBorders>
            <w:shd w:val="clear" w:color="auto" w:fill="auto"/>
            <w:noWrap/>
            <w:vAlign w:val="bottom"/>
            <w:hideMark/>
          </w:tcPr>
          <w:p w14:paraId="0A0D480D"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14,6</w:t>
            </w:r>
          </w:p>
        </w:tc>
        <w:tc>
          <w:tcPr>
            <w:tcW w:w="1395" w:type="dxa"/>
            <w:tcBorders>
              <w:top w:val="single" w:sz="4" w:space="0" w:color="auto"/>
              <w:left w:val="nil"/>
              <w:bottom w:val="nil"/>
              <w:right w:val="nil"/>
            </w:tcBorders>
            <w:shd w:val="clear" w:color="auto" w:fill="auto"/>
            <w:noWrap/>
            <w:vAlign w:val="bottom"/>
            <w:hideMark/>
          </w:tcPr>
          <w:p w14:paraId="3A91CAE7"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54.922.850</w:t>
            </w:r>
          </w:p>
        </w:tc>
        <w:tc>
          <w:tcPr>
            <w:tcW w:w="924" w:type="dxa"/>
            <w:tcBorders>
              <w:top w:val="single" w:sz="4" w:space="0" w:color="auto"/>
              <w:left w:val="nil"/>
              <w:bottom w:val="nil"/>
              <w:right w:val="nil"/>
            </w:tcBorders>
            <w:shd w:val="clear" w:color="auto" w:fill="auto"/>
            <w:noWrap/>
            <w:vAlign w:val="bottom"/>
            <w:hideMark/>
          </w:tcPr>
          <w:p w14:paraId="0621D1E5"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15,6</w:t>
            </w:r>
          </w:p>
        </w:tc>
        <w:tc>
          <w:tcPr>
            <w:tcW w:w="1190" w:type="dxa"/>
            <w:tcBorders>
              <w:top w:val="single" w:sz="4" w:space="0" w:color="auto"/>
              <w:left w:val="nil"/>
              <w:bottom w:val="nil"/>
              <w:right w:val="nil"/>
            </w:tcBorders>
            <w:shd w:val="clear" w:color="auto" w:fill="auto"/>
            <w:noWrap/>
            <w:vAlign w:val="bottom"/>
            <w:hideMark/>
          </w:tcPr>
          <w:p w14:paraId="5A7DE6BA"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12,8</w:t>
            </w:r>
          </w:p>
        </w:tc>
      </w:tr>
      <w:tr w:rsidR="00D55B81" w:rsidRPr="0088141F" w14:paraId="6F9FFAA2" w14:textId="77777777" w:rsidTr="007B0CCB">
        <w:trPr>
          <w:trHeight w:val="20"/>
        </w:trPr>
        <w:tc>
          <w:tcPr>
            <w:tcW w:w="3402" w:type="dxa"/>
            <w:tcBorders>
              <w:top w:val="nil"/>
              <w:left w:val="nil"/>
              <w:bottom w:val="single" w:sz="4" w:space="0" w:color="auto"/>
              <w:right w:val="nil"/>
            </w:tcBorders>
            <w:shd w:val="clear" w:color="auto" w:fill="auto"/>
            <w:noWrap/>
            <w:vAlign w:val="bottom"/>
            <w:hideMark/>
          </w:tcPr>
          <w:p w14:paraId="1F8F271A"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Área Méd. </w:t>
            </w:r>
            <w:proofErr w:type="spellStart"/>
            <w:r w:rsidRPr="0088141F">
              <w:rPr>
                <w:rFonts w:ascii="Times New Roman" w:eastAsia="Times New Roman" w:hAnsi="Times New Roman" w:cs="Times New Roman"/>
                <w:sz w:val="20"/>
                <w:szCs w:val="20"/>
              </w:rPr>
              <w:t>Estab</w:t>
            </w:r>
            <w:proofErr w:type="spellEnd"/>
            <w:r w:rsidRPr="0088141F">
              <w:rPr>
                <w:rFonts w:ascii="Times New Roman" w:eastAsia="Times New Roman" w:hAnsi="Times New Roman" w:cs="Times New Roman"/>
                <w:sz w:val="20"/>
                <w:szCs w:val="20"/>
              </w:rPr>
              <w:t>. (ha)</w:t>
            </w:r>
          </w:p>
        </w:tc>
        <w:tc>
          <w:tcPr>
            <w:tcW w:w="1276" w:type="dxa"/>
            <w:tcBorders>
              <w:top w:val="nil"/>
              <w:left w:val="nil"/>
              <w:bottom w:val="single" w:sz="4" w:space="0" w:color="auto"/>
              <w:right w:val="nil"/>
            </w:tcBorders>
            <w:shd w:val="clear" w:color="auto" w:fill="auto"/>
            <w:noWrap/>
            <w:vAlign w:val="bottom"/>
            <w:hideMark/>
          </w:tcPr>
          <w:p w14:paraId="51DBCE56"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430,9</w:t>
            </w:r>
          </w:p>
        </w:tc>
        <w:tc>
          <w:tcPr>
            <w:tcW w:w="873" w:type="dxa"/>
            <w:tcBorders>
              <w:top w:val="nil"/>
              <w:left w:val="nil"/>
              <w:bottom w:val="single" w:sz="4" w:space="0" w:color="auto"/>
              <w:right w:val="nil"/>
            </w:tcBorders>
            <w:shd w:val="clear" w:color="auto" w:fill="auto"/>
            <w:noWrap/>
            <w:vAlign w:val="bottom"/>
            <w:hideMark/>
          </w:tcPr>
          <w:p w14:paraId="7887946D"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395" w:type="dxa"/>
            <w:tcBorders>
              <w:top w:val="nil"/>
              <w:left w:val="nil"/>
              <w:bottom w:val="single" w:sz="4" w:space="0" w:color="auto"/>
              <w:right w:val="nil"/>
            </w:tcBorders>
            <w:shd w:val="clear" w:color="auto" w:fill="auto"/>
            <w:noWrap/>
            <w:vAlign w:val="bottom"/>
            <w:hideMark/>
          </w:tcPr>
          <w:p w14:paraId="04561BFA"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462,8</w:t>
            </w:r>
          </w:p>
        </w:tc>
        <w:tc>
          <w:tcPr>
            <w:tcW w:w="924" w:type="dxa"/>
            <w:tcBorders>
              <w:top w:val="nil"/>
              <w:left w:val="nil"/>
              <w:bottom w:val="single" w:sz="4" w:space="0" w:color="auto"/>
              <w:right w:val="nil"/>
            </w:tcBorders>
            <w:shd w:val="clear" w:color="auto" w:fill="auto"/>
            <w:noWrap/>
            <w:vAlign w:val="bottom"/>
            <w:hideMark/>
          </w:tcPr>
          <w:p w14:paraId="767BFB6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90" w:type="dxa"/>
            <w:tcBorders>
              <w:top w:val="nil"/>
              <w:left w:val="nil"/>
              <w:bottom w:val="single" w:sz="4" w:space="0" w:color="auto"/>
              <w:right w:val="nil"/>
            </w:tcBorders>
            <w:shd w:val="clear" w:color="auto" w:fill="auto"/>
            <w:noWrap/>
            <w:vAlign w:val="bottom"/>
            <w:hideMark/>
          </w:tcPr>
          <w:p w14:paraId="0D6826AA"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7,4</w:t>
            </w:r>
          </w:p>
        </w:tc>
      </w:tr>
      <w:tr w:rsidR="00D55B81" w:rsidRPr="0088141F" w14:paraId="52E66BD4" w14:textId="77777777" w:rsidTr="007B0CCB">
        <w:trPr>
          <w:trHeight w:val="20"/>
        </w:trPr>
        <w:tc>
          <w:tcPr>
            <w:tcW w:w="3402" w:type="dxa"/>
            <w:tcBorders>
              <w:top w:val="single" w:sz="4" w:space="0" w:color="auto"/>
              <w:left w:val="nil"/>
              <w:bottom w:val="nil"/>
              <w:right w:val="nil"/>
            </w:tcBorders>
            <w:shd w:val="clear" w:color="auto" w:fill="auto"/>
            <w:noWrap/>
            <w:vAlign w:val="bottom"/>
            <w:hideMark/>
          </w:tcPr>
          <w:p w14:paraId="675EFF80"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Área Lavoura(A)</w:t>
            </w:r>
          </w:p>
        </w:tc>
        <w:tc>
          <w:tcPr>
            <w:tcW w:w="1276" w:type="dxa"/>
            <w:tcBorders>
              <w:top w:val="single" w:sz="4" w:space="0" w:color="auto"/>
              <w:left w:val="nil"/>
              <w:bottom w:val="nil"/>
              <w:right w:val="nil"/>
            </w:tcBorders>
            <w:shd w:val="clear" w:color="auto" w:fill="auto"/>
            <w:noWrap/>
            <w:vAlign w:val="bottom"/>
            <w:hideMark/>
          </w:tcPr>
          <w:p w14:paraId="427CCC02"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6.426.732</w:t>
            </w:r>
          </w:p>
        </w:tc>
        <w:tc>
          <w:tcPr>
            <w:tcW w:w="873" w:type="dxa"/>
            <w:tcBorders>
              <w:top w:val="single" w:sz="4" w:space="0" w:color="auto"/>
              <w:left w:val="nil"/>
              <w:bottom w:val="nil"/>
              <w:right w:val="nil"/>
            </w:tcBorders>
            <w:shd w:val="clear" w:color="auto" w:fill="auto"/>
            <w:noWrap/>
            <w:vAlign w:val="bottom"/>
            <w:hideMark/>
          </w:tcPr>
          <w:p w14:paraId="48AB41E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10,6</w:t>
            </w:r>
          </w:p>
        </w:tc>
        <w:tc>
          <w:tcPr>
            <w:tcW w:w="1395" w:type="dxa"/>
            <w:tcBorders>
              <w:top w:val="single" w:sz="4" w:space="0" w:color="auto"/>
              <w:left w:val="nil"/>
              <w:bottom w:val="nil"/>
              <w:right w:val="nil"/>
            </w:tcBorders>
            <w:shd w:val="clear" w:color="auto" w:fill="auto"/>
            <w:noWrap/>
            <w:vAlign w:val="bottom"/>
            <w:hideMark/>
          </w:tcPr>
          <w:p w14:paraId="6D0BA782"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9.865.599</w:t>
            </w:r>
          </w:p>
        </w:tc>
        <w:tc>
          <w:tcPr>
            <w:tcW w:w="924" w:type="dxa"/>
            <w:tcBorders>
              <w:top w:val="single" w:sz="4" w:space="0" w:color="auto"/>
              <w:left w:val="nil"/>
              <w:bottom w:val="nil"/>
              <w:right w:val="nil"/>
            </w:tcBorders>
            <w:shd w:val="clear" w:color="auto" w:fill="auto"/>
            <w:noWrap/>
            <w:vAlign w:val="bottom"/>
            <w:hideMark/>
          </w:tcPr>
          <w:p w14:paraId="732624B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15,5</w:t>
            </w:r>
          </w:p>
        </w:tc>
        <w:tc>
          <w:tcPr>
            <w:tcW w:w="1190" w:type="dxa"/>
            <w:tcBorders>
              <w:top w:val="single" w:sz="4" w:space="0" w:color="auto"/>
              <w:left w:val="nil"/>
              <w:bottom w:val="nil"/>
              <w:right w:val="nil"/>
            </w:tcBorders>
            <w:shd w:val="clear" w:color="auto" w:fill="auto"/>
            <w:noWrap/>
            <w:vAlign w:val="bottom"/>
            <w:hideMark/>
          </w:tcPr>
          <w:p w14:paraId="195AFE9C"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53,5</w:t>
            </w:r>
          </w:p>
        </w:tc>
      </w:tr>
      <w:tr w:rsidR="00D55B81" w:rsidRPr="0088141F" w14:paraId="1EBB9936" w14:textId="77777777" w:rsidTr="007B0CCB">
        <w:trPr>
          <w:trHeight w:val="20"/>
        </w:trPr>
        <w:tc>
          <w:tcPr>
            <w:tcW w:w="3402" w:type="dxa"/>
            <w:tcBorders>
              <w:top w:val="nil"/>
              <w:left w:val="nil"/>
              <w:bottom w:val="nil"/>
              <w:right w:val="nil"/>
            </w:tcBorders>
            <w:shd w:val="clear" w:color="auto" w:fill="auto"/>
            <w:noWrap/>
            <w:vAlign w:val="bottom"/>
            <w:hideMark/>
          </w:tcPr>
          <w:p w14:paraId="6CC396F4"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Permanente</w:t>
            </w:r>
          </w:p>
        </w:tc>
        <w:tc>
          <w:tcPr>
            <w:tcW w:w="1276" w:type="dxa"/>
            <w:tcBorders>
              <w:top w:val="nil"/>
              <w:left w:val="nil"/>
              <w:bottom w:val="nil"/>
              <w:right w:val="nil"/>
            </w:tcBorders>
            <w:shd w:val="clear" w:color="auto" w:fill="auto"/>
            <w:noWrap/>
            <w:vAlign w:val="bottom"/>
            <w:hideMark/>
          </w:tcPr>
          <w:p w14:paraId="268300E8"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408.550</w:t>
            </w:r>
          </w:p>
        </w:tc>
        <w:tc>
          <w:tcPr>
            <w:tcW w:w="873" w:type="dxa"/>
            <w:tcBorders>
              <w:top w:val="nil"/>
              <w:left w:val="nil"/>
              <w:bottom w:val="nil"/>
              <w:right w:val="nil"/>
            </w:tcBorders>
            <w:shd w:val="clear" w:color="auto" w:fill="auto"/>
            <w:noWrap/>
            <w:vAlign w:val="bottom"/>
            <w:hideMark/>
          </w:tcPr>
          <w:p w14:paraId="0AC69E46"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3,5</w:t>
            </w:r>
          </w:p>
        </w:tc>
        <w:tc>
          <w:tcPr>
            <w:tcW w:w="1395" w:type="dxa"/>
            <w:tcBorders>
              <w:top w:val="nil"/>
              <w:left w:val="nil"/>
              <w:bottom w:val="nil"/>
              <w:right w:val="nil"/>
            </w:tcBorders>
            <w:shd w:val="clear" w:color="auto" w:fill="auto"/>
            <w:noWrap/>
            <w:vAlign w:val="bottom"/>
            <w:hideMark/>
          </w:tcPr>
          <w:p w14:paraId="00B29CAE"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99.608</w:t>
            </w:r>
          </w:p>
        </w:tc>
        <w:tc>
          <w:tcPr>
            <w:tcW w:w="924" w:type="dxa"/>
            <w:tcBorders>
              <w:top w:val="nil"/>
              <w:left w:val="nil"/>
              <w:bottom w:val="nil"/>
              <w:right w:val="nil"/>
            </w:tcBorders>
            <w:shd w:val="clear" w:color="auto" w:fill="auto"/>
            <w:noWrap/>
            <w:vAlign w:val="bottom"/>
            <w:hideMark/>
          </w:tcPr>
          <w:p w14:paraId="5F3169FE"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1,3</w:t>
            </w:r>
          </w:p>
        </w:tc>
        <w:tc>
          <w:tcPr>
            <w:tcW w:w="1190" w:type="dxa"/>
            <w:tcBorders>
              <w:top w:val="nil"/>
              <w:left w:val="nil"/>
              <w:bottom w:val="nil"/>
              <w:right w:val="nil"/>
            </w:tcBorders>
            <w:shd w:val="clear" w:color="auto" w:fill="auto"/>
            <w:noWrap/>
            <w:vAlign w:val="bottom"/>
            <w:hideMark/>
          </w:tcPr>
          <w:p w14:paraId="05BC2A9E"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-75,6</w:t>
            </w:r>
          </w:p>
        </w:tc>
      </w:tr>
      <w:tr w:rsidR="00D55B81" w:rsidRPr="0088141F" w14:paraId="43B186B3" w14:textId="77777777" w:rsidTr="007B0CCB">
        <w:trPr>
          <w:trHeight w:val="20"/>
        </w:trPr>
        <w:tc>
          <w:tcPr>
            <w:tcW w:w="3402" w:type="dxa"/>
            <w:tcBorders>
              <w:top w:val="nil"/>
              <w:left w:val="nil"/>
              <w:bottom w:val="nil"/>
              <w:right w:val="nil"/>
            </w:tcBorders>
            <w:shd w:val="clear" w:color="auto" w:fill="auto"/>
            <w:noWrap/>
            <w:vAlign w:val="bottom"/>
            <w:hideMark/>
          </w:tcPr>
          <w:p w14:paraId="1DF16DBB"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Temporária</w:t>
            </w:r>
            <w:r w:rsidR="009C4C8B" w:rsidRPr="0088141F">
              <w:rPr>
                <w:rFonts w:ascii="Times New Roman" w:eastAsia="Times New Roman" w:hAnsi="Times New Roman" w:cs="Times New Roman"/>
                <w:sz w:val="20"/>
                <w:szCs w:val="20"/>
              </w:rPr>
              <w:t xml:space="preserve"> (a)</w:t>
            </w:r>
          </w:p>
        </w:tc>
        <w:tc>
          <w:tcPr>
            <w:tcW w:w="1276" w:type="dxa"/>
            <w:tcBorders>
              <w:top w:val="nil"/>
              <w:left w:val="nil"/>
              <w:bottom w:val="nil"/>
              <w:right w:val="nil"/>
            </w:tcBorders>
            <w:shd w:val="clear" w:color="auto" w:fill="auto"/>
            <w:noWrap/>
            <w:vAlign w:val="bottom"/>
            <w:hideMark/>
          </w:tcPr>
          <w:p w14:paraId="520B72DA"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6.018.182</w:t>
            </w:r>
          </w:p>
        </w:tc>
        <w:tc>
          <w:tcPr>
            <w:tcW w:w="873" w:type="dxa"/>
            <w:tcBorders>
              <w:top w:val="nil"/>
              <w:left w:val="nil"/>
              <w:bottom w:val="nil"/>
              <w:right w:val="nil"/>
            </w:tcBorders>
            <w:shd w:val="clear" w:color="auto" w:fill="auto"/>
            <w:noWrap/>
            <w:vAlign w:val="bottom"/>
            <w:hideMark/>
          </w:tcPr>
          <w:p w14:paraId="1C41FFD2"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12,3</w:t>
            </w:r>
          </w:p>
        </w:tc>
        <w:tc>
          <w:tcPr>
            <w:tcW w:w="1395" w:type="dxa"/>
            <w:tcBorders>
              <w:top w:val="nil"/>
              <w:left w:val="nil"/>
              <w:bottom w:val="nil"/>
              <w:right w:val="nil"/>
            </w:tcBorders>
            <w:shd w:val="clear" w:color="auto" w:fill="auto"/>
            <w:noWrap/>
            <w:vAlign w:val="bottom"/>
            <w:hideMark/>
          </w:tcPr>
          <w:p w14:paraId="2AFFE0F9"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9.757.280</w:t>
            </w:r>
          </w:p>
        </w:tc>
        <w:tc>
          <w:tcPr>
            <w:tcW w:w="924" w:type="dxa"/>
            <w:tcBorders>
              <w:top w:val="nil"/>
              <w:left w:val="nil"/>
              <w:bottom w:val="nil"/>
              <w:right w:val="nil"/>
            </w:tcBorders>
            <w:shd w:val="clear" w:color="auto" w:fill="auto"/>
            <w:noWrap/>
            <w:vAlign w:val="bottom"/>
            <w:hideMark/>
          </w:tcPr>
          <w:p w14:paraId="35668773"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17,5</w:t>
            </w:r>
          </w:p>
        </w:tc>
        <w:tc>
          <w:tcPr>
            <w:tcW w:w="1190" w:type="dxa"/>
            <w:tcBorders>
              <w:top w:val="nil"/>
              <w:left w:val="nil"/>
              <w:bottom w:val="nil"/>
              <w:right w:val="nil"/>
            </w:tcBorders>
            <w:shd w:val="clear" w:color="auto" w:fill="auto"/>
            <w:noWrap/>
            <w:vAlign w:val="bottom"/>
            <w:hideMark/>
          </w:tcPr>
          <w:p w14:paraId="39671C32"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62,1</w:t>
            </w:r>
          </w:p>
        </w:tc>
      </w:tr>
      <w:tr w:rsidR="00D55B81" w:rsidRPr="0088141F" w14:paraId="66F0A1B8" w14:textId="77777777" w:rsidTr="007B0CCB">
        <w:trPr>
          <w:trHeight w:val="20"/>
        </w:trPr>
        <w:tc>
          <w:tcPr>
            <w:tcW w:w="3402" w:type="dxa"/>
            <w:tcBorders>
              <w:top w:val="nil"/>
              <w:left w:val="nil"/>
              <w:bottom w:val="single" w:sz="4" w:space="0" w:color="auto"/>
              <w:right w:val="nil"/>
            </w:tcBorders>
            <w:shd w:val="clear" w:color="auto" w:fill="auto"/>
            <w:noWrap/>
            <w:vAlign w:val="bottom"/>
            <w:hideMark/>
          </w:tcPr>
          <w:p w14:paraId="0C896762"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 de </w:t>
            </w:r>
            <w:proofErr w:type="spellStart"/>
            <w:proofErr w:type="gramStart"/>
            <w:r w:rsidRPr="0088141F">
              <w:rPr>
                <w:rFonts w:ascii="Times New Roman" w:eastAsia="Times New Roman" w:hAnsi="Times New Roman" w:cs="Times New Roman"/>
                <w:sz w:val="20"/>
                <w:szCs w:val="20"/>
              </w:rPr>
              <w:t>Lav</w:t>
            </w:r>
            <w:proofErr w:type="spellEnd"/>
            <w:r w:rsidRPr="0088141F">
              <w:rPr>
                <w:rFonts w:ascii="Times New Roman" w:eastAsia="Times New Roman" w:hAnsi="Times New Roman" w:cs="Times New Roman"/>
                <w:sz w:val="20"/>
                <w:szCs w:val="20"/>
              </w:rPr>
              <w:t>./</w:t>
            </w:r>
            <w:proofErr w:type="gramEnd"/>
            <w:r w:rsidRPr="0088141F">
              <w:rPr>
                <w:rFonts w:ascii="Times New Roman" w:eastAsia="Times New Roman" w:hAnsi="Times New Roman" w:cs="Times New Roman"/>
                <w:sz w:val="20"/>
                <w:szCs w:val="20"/>
              </w:rPr>
              <w:t>Ar. Total (%)</w:t>
            </w:r>
          </w:p>
        </w:tc>
        <w:tc>
          <w:tcPr>
            <w:tcW w:w="1276" w:type="dxa"/>
            <w:tcBorders>
              <w:top w:val="nil"/>
              <w:left w:val="nil"/>
              <w:bottom w:val="single" w:sz="4" w:space="0" w:color="auto"/>
              <w:right w:val="nil"/>
            </w:tcBorders>
            <w:shd w:val="clear" w:color="auto" w:fill="auto"/>
            <w:noWrap/>
            <w:vAlign w:val="bottom"/>
            <w:hideMark/>
          </w:tcPr>
          <w:p w14:paraId="0E4FD2BA"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13,2</w:t>
            </w:r>
          </w:p>
        </w:tc>
        <w:tc>
          <w:tcPr>
            <w:tcW w:w="873" w:type="dxa"/>
            <w:tcBorders>
              <w:top w:val="nil"/>
              <w:left w:val="nil"/>
              <w:bottom w:val="single" w:sz="4" w:space="0" w:color="auto"/>
              <w:right w:val="nil"/>
            </w:tcBorders>
            <w:shd w:val="clear" w:color="auto" w:fill="auto"/>
            <w:noWrap/>
            <w:vAlign w:val="bottom"/>
            <w:hideMark/>
          </w:tcPr>
          <w:p w14:paraId="2753DEEC"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p>
        </w:tc>
        <w:tc>
          <w:tcPr>
            <w:tcW w:w="1395" w:type="dxa"/>
            <w:tcBorders>
              <w:top w:val="nil"/>
              <w:left w:val="nil"/>
              <w:bottom w:val="single" w:sz="4" w:space="0" w:color="auto"/>
              <w:right w:val="nil"/>
            </w:tcBorders>
            <w:shd w:val="clear" w:color="auto" w:fill="auto"/>
            <w:noWrap/>
            <w:vAlign w:val="bottom"/>
            <w:hideMark/>
          </w:tcPr>
          <w:p w14:paraId="579BC3CC"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18,0</w:t>
            </w:r>
          </w:p>
        </w:tc>
        <w:tc>
          <w:tcPr>
            <w:tcW w:w="924" w:type="dxa"/>
            <w:tcBorders>
              <w:top w:val="nil"/>
              <w:left w:val="nil"/>
              <w:bottom w:val="single" w:sz="4" w:space="0" w:color="auto"/>
              <w:right w:val="nil"/>
            </w:tcBorders>
            <w:shd w:val="clear" w:color="auto" w:fill="auto"/>
            <w:noWrap/>
            <w:vAlign w:val="bottom"/>
            <w:hideMark/>
          </w:tcPr>
          <w:p w14:paraId="0DB34E91"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p>
        </w:tc>
        <w:tc>
          <w:tcPr>
            <w:tcW w:w="1190" w:type="dxa"/>
            <w:tcBorders>
              <w:top w:val="nil"/>
              <w:left w:val="nil"/>
              <w:bottom w:val="single" w:sz="4" w:space="0" w:color="auto"/>
              <w:right w:val="nil"/>
            </w:tcBorders>
            <w:shd w:val="clear" w:color="auto" w:fill="auto"/>
            <w:noWrap/>
            <w:vAlign w:val="bottom"/>
            <w:hideMark/>
          </w:tcPr>
          <w:p w14:paraId="32D9C1E8"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r>
      <w:tr w:rsidR="00D55B81" w:rsidRPr="0088141F" w14:paraId="362C1B05" w14:textId="77777777" w:rsidTr="007B0CCB">
        <w:trPr>
          <w:trHeight w:val="20"/>
        </w:trPr>
        <w:tc>
          <w:tcPr>
            <w:tcW w:w="3402" w:type="dxa"/>
            <w:tcBorders>
              <w:top w:val="single" w:sz="4" w:space="0" w:color="auto"/>
              <w:left w:val="nil"/>
              <w:bottom w:val="nil"/>
              <w:right w:val="nil"/>
            </w:tcBorders>
            <w:shd w:val="clear" w:color="auto" w:fill="auto"/>
            <w:noWrap/>
            <w:vAlign w:val="bottom"/>
            <w:hideMark/>
          </w:tcPr>
          <w:p w14:paraId="3878F1C7"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Área Pastagem</w:t>
            </w:r>
          </w:p>
        </w:tc>
        <w:tc>
          <w:tcPr>
            <w:tcW w:w="1276" w:type="dxa"/>
            <w:tcBorders>
              <w:top w:val="single" w:sz="4" w:space="0" w:color="auto"/>
              <w:left w:val="nil"/>
              <w:bottom w:val="nil"/>
              <w:right w:val="nil"/>
            </w:tcBorders>
            <w:shd w:val="clear" w:color="auto" w:fill="auto"/>
            <w:noWrap/>
            <w:vAlign w:val="bottom"/>
            <w:hideMark/>
          </w:tcPr>
          <w:p w14:paraId="12E02248"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22.062.658</w:t>
            </w:r>
          </w:p>
        </w:tc>
        <w:tc>
          <w:tcPr>
            <w:tcW w:w="873" w:type="dxa"/>
            <w:tcBorders>
              <w:top w:val="single" w:sz="4" w:space="0" w:color="auto"/>
              <w:left w:val="nil"/>
              <w:bottom w:val="nil"/>
              <w:right w:val="nil"/>
            </w:tcBorders>
            <w:shd w:val="clear" w:color="auto" w:fill="auto"/>
            <w:noWrap/>
            <w:vAlign w:val="bottom"/>
            <w:hideMark/>
          </w:tcPr>
          <w:p w14:paraId="3B8FE678"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13,8</w:t>
            </w:r>
          </w:p>
        </w:tc>
        <w:tc>
          <w:tcPr>
            <w:tcW w:w="1395" w:type="dxa"/>
            <w:tcBorders>
              <w:top w:val="single" w:sz="4" w:space="0" w:color="auto"/>
              <w:left w:val="nil"/>
              <w:bottom w:val="nil"/>
              <w:right w:val="nil"/>
            </w:tcBorders>
            <w:shd w:val="clear" w:color="auto" w:fill="auto"/>
            <w:noWrap/>
            <w:vAlign w:val="bottom"/>
            <w:hideMark/>
          </w:tcPr>
          <w:p w14:paraId="1A8959EB"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23.011.251</w:t>
            </w:r>
          </w:p>
        </w:tc>
        <w:tc>
          <w:tcPr>
            <w:tcW w:w="924" w:type="dxa"/>
            <w:tcBorders>
              <w:top w:val="single" w:sz="4" w:space="0" w:color="auto"/>
              <w:left w:val="nil"/>
              <w:bottom w:val="nil"/>
              <w:right w:val="nil"/>
            </w:tcBorders>
            <w:shd w:val="clear" w:color="auto" w:fill="auto"/>
            <w:noWrap/>
            <w:vAlign w:val="bottom"/>
            <w:hideMark/>
          </w:tcPr>
          <w:p w14:paraId="224B5B6C"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14,4</w:t>
            </w:r>
          </w:p>
        </w:tc>
        <w:tc>
          <w:tcPr>
            <w:tcW w:w="1190" w:type="dxa"/>
            <w:tcBorders>
              <w:top w:val="single" w:sz="4" w:space="0" w:color="auto"/>
              <w:left w:val="nil"/>
              <w:bottom w:val="nil"/>
              <w:right w:val="nil"/>
            </w:tcBorders>
            <w:shd w:val="clear" w:color="auto" w:fill="auto"/>
            <w:noWrap/>
            <w:vAlign w:val="bottom"/>
            <w:hideMark/>
          </w:tcPr>
          <w:p w14:paraId="3FFF09EA"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4,3</w:t>
            </w:r>
          </w:p>
        </w:tc>
      </w:tr>
      <w:tr w:rsidR="00D55B81" w:rsidRPr="0088141F" w14:paraId="0714B27A" w14:textId="77777777" w:rsidTr="007B0CCB">
        <w:trPr>
          <w:trHeight w:val="20"/>
        </w:trPr>
        <w:tc>
          <w:tcPr>
            <w:tcW w:w="3402" w:type="dxa"/>
            <w:tcBorders>
              <w:top w:val="nil"/>
              <w:left w:val="nil"/>
              <w:bottom w:val="nil"/>
              <w:right w:val="nil"/>
            </w:tcBorders>
            <w:shd w:val="clear" w:color="auto" w:fill="auto"/>
            <w:noWrap/>
            <w:vAlign w:val="bottom"/>
            <w:hideMark/>
          </w:tcPr>
          <w:p w14:paraId="55154D75"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Natural</w:t>
            </w:r>
          </w:p>
        </w:tc>
        <w:tc>
          <w:tcPr>
            <w:tcW w:w="1276" w:type="dxa"/>
            <w:tcBorders>
              <w:top w:val="nil"/>
              <w:left w:val="nil"/>
              <w:bottom w:val="nil"/>
              <w:right w:val="nil"/>
            </w:tcBorders>
            <w:shd w:val="clear" w:color="auto" w:fill="auto"/>
            <w:noWrap/>
            <w:vAlign w:val="bottom"/>
            <w:hideMark/>
          </w:tcPr>
          <w:p w14:paraId="2D4955A6"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4.404.283</w:t>
            </w:r>
          </w:p>
        </w:tc>
        <w:tc>
          <w:tcPr>
            <w:tcW w:w="873" w:type="dxa"/>
            <w:tcBorders>
              <w:top w:val="nil"/>
              <w:left w:val="nil"/>
              <w:bottom w:val="nil"/>
              <w:right w:val="nil"/>
            </w:tcBorders>
            <w:shd w:val="clear" w:color="auto" w:fill="auto"/>
            <w:noWrap/>
            <w:vAlign w:val="bottom"/>
            <w:hideMark/>
          </w:tcPr>
          <w:p w14:paraId="71679A77"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7,6</w:t>
            </w:r>
          </w:p>
        </w:tc>
        <w:tc>
          <w:tcPr>
            <w:tcW w:w="1395" w:type="dxa"/>
            <w:tcBorders>
              <w:top w:val="nil"/>
              <w:left w:val="nil"/>
              <w:bottom w:val="nil"/>
              <w:right w:val="nil"/>
            </w:tcBorders>
            <w:shd w:val="clear" w:color="auto" w:fill="auto"/>
            <w:noWrap/>
            <w:vAlign w:val="bottom"/>
            <w:hideMark/>
          </w:tcPr>
          <w:p w14:paraId="2E9DCD47"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3.995.697</w:t>
            </w:r>
          </w:p>
        </w:tc>
        <w:tc>
          <w:tcPr>
            <w:tcW w:w="924" w:type="dxa"/>
            <w:tcBorders>
              <w:top w:val="nil"/>
              <w:left w:val="nil"/>
              <w:bottom w:val="nil"/>
              <w:right w:val="nil"/>
            </w:tcBorders>
            <w:shd w:val="clear" w:color="auto" w:fill="auto"/>
            <w:noWrap/>
            <w:vAlign w:val="bottom"/>
            <w:hideMark/>
          </w:tcPr>
          <w:p w14:paraId="76D8F4FB"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8,4</w:t>
            </w:r>
          </w:p>
        </w:tc>
        <w:tc>
          <w:tcPr>
            <w:tcW w:w="1190" w:type="dxa"/>
            <w:tcBorders>
              <w:top w:val="nil"/>
              <w:left w:val="nil"/>
              <w:bottom w:val="nil"/>
              <w:right w:val="nil"/>
            </w:tcBorders>
            <w:shd w:val="clear" w:color="auto" w:fill="auto"/>
            <w:noWrap/>
            <w:vAlign w:val="bottom"/>
            <w:hideMark/>
          </w:tcPr>
          <w:p w14:paraId="7C3B395D"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-9,3</w:t>
            </w:r>
          </w:p>
        </w:tc>
      </w:tr>
      <w:tr w:rsidR="00D55B81" w:rsidRPr="0088141F" w14:paraId="13261F7A" w14:textId="77777777" w:rsidTr="007B0CCB">
        <w:trPr>
          <w:trHeight w:val="20"/>
        </w:trPr>
        <w:tc>
          <w:tcPr>
            <w:tcW w:w="3402" w:type="dxa"/>
            <w:tcBorders>
              <w:top w:val="nil"/>
              <w:left w:val="nil"/>
              <w:bottom w:val="nil"/>
              <w:right w:val="nil"/>
            </w:tcBorders>
            <w:shd w:val="clear" w:color="auto" w:fill="auto"/>
            <w:noWrap/>
            <w:vAlign w:val="bottom"/>
            <w:hideMark/>
          </w:tcPr>
          <w:p w14:paraId="400FB861" w14:textId="77777777" w:rsidR="00D55B81" w:rsidRPr="0088141F" w:rsidRDefault="00D55B81" w:rsidP="009C4C8B">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Plantada (</w:t>
            </w:r>
            <w:r w:rsidR="009C4C8B" w:rsidRPr="0088141F">
              <w:rPr>
                <w:rFonts w:ascii="Times New Roman" w:eastAsia="Times New Roman" w:hAnsi="Times New Roman" w:cs="Times New Roman"/>
                <w:sz w:val="20"/>
                <w:szCs w:val="20"/>
              </w:rPr>
              <w:t>b</w:t>
            </w:r>
            <w:r w:rsidRPr="0088141F">
              <w:rPr>
                <w:rFonts w:ascii="Times New Roman" w:eastAsia="Times New Roman" w:hAnsi="Times New Roman" w:cs="Times New Roman"/>
                <w:sz w:val="20"/>
                <w:szCs w:val="20"/>
              </w:rPr>
              <w:t>)</w:t>
            </w:r>
          </w:p>
        </w:tc>
        <w:tc>
          <w:tcPr>
            <w:tcW w:w="1276" w:type="dxa"/>
            <w:tcBorders>
              <w:top w:val="nil"/>
              <w:left w:val="nil"/>
              <w:bottom w:val="nil"/>
              <w:right w:val="nil"/>
            </w:tcBorders>
            <w:shd w:val="clear" w:color="auto" w:fill="auto"/>
            <w:noWrap/>
            <w:vAlign w:val="bottom"/>
            <w:hideMark/>
          </w:tcPr>
          <w:p w14:paraId="362134B6"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17.658.375</w:t>
            </w:r>
          </w:p>
        </w:tc>
        <w:tc>
          <w:tcPr>
            <w:tcW w:w="873" w:type="dxa"/>
            <w:tcBorders>
              <w:top w:val="nil"/>
              <w:left w:val="nil"/>
              <w:bottom w:val="nil"/>
              <w:right w:val="nil"/>
            </w:tcBorders>
            <w:shd w:val="clear" w:color="auto" w:fill="auto"/>
            <w:noWrap/>
            <w:vAlign w:val="bottom"/>
            <w:hideMark/>
          </w:tcPr>
          <w:p w14:paraId="32EFEAEE"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17,2</w:t>
            </w:r>
          </w:p>
        </w:tc>
        <w:tc>
          <w:tcPr>
            <w:tcW w:w="1395" w:type="dxa"/>
            <w:tcBorders>
              <w:top w:val="nil"/>
              <w:left w:val="nil"/>
              <w:bottom w:val="nil"/>
              <w:right w:val="nil"/>
            </w:tcBorders>
            <w:shd w:val="clear" w:color="auto" w:fill="auto"/>
            <w:noWrap/>
            <w:vAlign w:val="bottom"/>
            <w:hideMark/>
          </w:tcPr>
          <w:p w14:paraId="39148ADF"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19.015.554</w:t>
            </w:r>
          </w:p>
        </w:tc>
        <w:tc>
          <w:tcPr>
            <w:tcW w:w="924" w:type="dxa"/>
            <w:tcBorders>
              <w:top w:val="nil"/>
              <w:left w:val="nil"/>
              <w:bottom w:val="nil"/>
              <w:right w:val="nil"/>
            </w:tcBorders>
            <w:shd w:val="clear" w:color="auto" w:fill="auto"/>
            <w:noWrap/>
            <w:vAlign w:val="bottom"/>
            <w:hideMark/>
          </w:tcPr>
          <w:p w14:paraId="642061C1"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17,0</w:t>
            </w:r>
          </w:p>
        </w:tc>
        <w:tc>
          <w:tcPr>
            <w:tcW w:w="1190" w:type="dxa"/>
            <w:tcBorders>
              <w:top w:val="nil"/>
              <w:left w:val="nil"/>
              <w:bottom w:val="nil"/>
              <w:right w:val="nil"/>
            </w:tcBorders>
            <w:shd w:val="clear" w:color="auto" w:fill="auto"/>
            <w:noWrap/>
            <w:vAlign w:val="bottom"/>
            <w:hideMark/>
          </w:tcPr>
          <w:p w14:paraId="495313A9"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7,7</w:t>
            </w:r>
          </w:p>
        </w:tc>
      </w:tr>
      <w:tr w:rsidR="00D55B81" w:rsidRPr="0088141F" w14:paraId="617DACDE" w14:textId="77777777" w:rsidTr="007B0CCB">
        <w:trPr>
          <w:trHeight w:val="20"/>
        </w:trPr>
        <w:tc>
          <w:tcPr>
            <w:tcW w:w="3402" w:type="dxa"/>
            <w:tcBorders>
              <w:top w:val="nil"/>
              <w:left w:val="nil"/>
              <w:bottom w:val="single" w:sz="4" w:space="0" w:color="auto"/>
              <w:right w:val="nil"/>
            </w:tcBorders>
            <w:shd w:val="clear" w:color="auto" w:fill="auto"/>
            <w:noWrap/>
            <w:vAlign w:val="bottom"/>
            <w:hideMark/>
          </w:tcPr>
          <w:p w14:paraId="38924012"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Ar. Pecuária/Ar. Total (%)</w:t>
            </w:r>
          </w:p>
        </w:tc>
        <w:tc>
          <w:tcPr>
            <w:tcW w:w="1276" w:type="dxa"/>
            <w:tcBorders>
              <w:top w:val="nil"/>
              <w:left w:val="nil"/>
              <w:bottom w:val="single" w:sz="4" w:space="0" w:color="auto"/>
              <w:right w:val="nil"/>
            </w:tcBorders>
            <w:shd w:val="clear" w:color="auto" w:fill="auto"/>
            <w:noWrap/>
            <w:vAlign w:val="bottom"/>
            <w:hideMark/>
          </w:tcPr>
          <w:p w14:paraId="5DB0C795"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45,3</w:t>
            </w:r>
          </w:p>
        </w:tc>
        <w:tc>
          <w:tcPr>
            <w:tcW w:w="873" w:type="dxa"/>
            <w:tcBorders>
              <w:top w:val="nil"/>
              <w:left w:val="nil"/>
              <w:bottom w:val="single" w:sz="4" w:space="0" w:color="auto"/>
              <w:right w:val="nil"/>
            </w:tcBorders>
            <w:shd w:val="clear" w:color="auto" w:fill="auto"/>
            <w:noWrap/>
            <w:vAlign w:val="bottom"/>
            <w:hideMark/>
          </w:tcPr>
          <w:p w14:paraId="61E57F2F"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p>
        </w:tc>
        <w:tc>
          <w:tcPr>
            <w:tcW w:w="1395" w:type="dxa"/>
            <w:tcBorders>
              <w:top w:val="nil"/>
              <w:left w:val="nil"/>
              <w:bottom w:val="single" w:sz="4" w:space="0" w:color="auto"/>
              <w:right w:val="nil"/>
            </w:tcBorders>
            <w:shd w:val="clear" w:color="auto" w:fill="auto"/>
            <w:noWrap/>
            <w:vAlign w:val="bottom"/>
            <w:hideMark/>
          </w:tcPr>
          <w:p w14:paraId="3C4D2908"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41,9</w:t>
            </w:r>
          </w:p>
        </w:tc>
        <w:tc>
          <w:tcPr>
            <w:tcW w:w="924" w:type="dxa"/>
            <w:tcBorders>
              <w:top w:val="nil"/>
              <w:left w:val="nil"/>
              <w:bottom w:val="single" w:sz="4" w:space="0" w:color="auto"/>
              <w:right w:val="nil"/>
            </w:tcBorders>
            <w:shd w:val="clear" w:color="auto" w:fill="auto"/>
            <w:noWrap/>
            <w:vAlign w:val="bottom"/>
            <w:hideMark/>
          </w:tcPr>
          <w:p w14:paraId="772BF48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p>
        </w:tc>
        <w:tc>
          <w:tcPr>
            <w:tcW w:w="1190" w:type="dxa"/>
            <w:tcBorders>
              <w:top w:val="nil"/>
              <w:left w:val="nil"/>
              <w:bottom w:val="single" w:sz="4" w:space="0" w:color="auto"/>
              <w:right w:val="nil"/>
            </w:tcBorders>
            <w:shd w:val="clear" w:color="auto" w:fill="auto"/>
            <w:noWrap/>
            <w:vAlign w:val="bottom"/>
            <w:hideMark/>
          </w:tcPr>
          <w:p w14:paraId="6C505945"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r>
      <w:tr w:rsidR="00D55B81" w:rsidRPr="0088141F" w14:paraId="27C711CF" w14:textId="77777777" w:rsidTr="007B0CCB">
        <w:trPr>
          <w:trHeight w:val="20"/>
        </w:trPr>
        <w:tc>
          <w:tcPr>
            <w:tcW w:w="3402" w:type="dxa"/>
            <w:tcBorders>
              <w:top w:val="single" w:sz="4" w:space="0" w:color="auto"/>
              <w:left w:val="nil"/>
              <w:bottom w:val="nil"/>
              <w:right w:val="nil"/>
            </w:tcBorders>
            <w:shd w:val="clear" w:color="auto" w:fill="auto"/>
            <w:noWrap/>
            <w:vAlign w:val="bottom"/>
            <w:hideMark/>
          </w:tcPr>
          <w:p w14:paraId="2D5DA3C8"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Área de Mata e Floresta</w:t>
            </w:r>
          </w:p>
        </w:tc>
        <w:tc>
          <w:tcPr>
            <w:tcW w:w="1276" w:type="dxa"/>
            <w:tcBorders>
              <w:top w:val="single" w:sz="4" w:space="0" w:color="auto"/>
              <w:left w:val="nil"/>
              <w:bottom w:val="nil"/>
              <w:right w:val="nil"/>
            </w:tcBorders>
            <w:shd w:val="clear" w:color="auto" w:fill="auto"/>
            <w:noWrap/>
            <w:vAlign w:val="bottom"/>
            <w:hideMark/>
          </w:tcPr>
          <w:p w14:paraId="7C60EF0B"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19.176.637</w:t>
            </w:r>
          </w:p>
        </w:tc>
        <w:tc>
          <w:tcPr>
            <w:tcW w:w="873" w:type="dxa"/>
            <w:tcBorders>
              <w:top w:val="single" w:sz="4" w:space="0" w:color="auto"/>
              <w:left w:val="nil"/>
              <w:bottom w:val="nil"/>
              <w:right w:val="nil"/>
            </w:tcBorders>
            <w:shd w:val="clear" w:color="auto" w:fill="auto"/>
            <w:noWrap/>
            <w:vAlign w:val="bottom"/>
            <w:hideMark/>
          </w:tcPr>
          <w:p w14:paraId="2DBF6C76"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19,2</w:t>
            </w:r>
          </w:p>
        </w:tc>
        <w:tc>
          <w:tcPr>
            <w:tcW w:w="1395" w:type="dxa"/>
            <w:tcBorders>
              <w:top w:val="single" w:sz="4" w:space="0" w:color="auto"/>
              <w:left w:val="nil"/>
              <w:bottom w:val="nil"/>
              <w:right w:val="nil"/>
            </w:tcBorders>
            <w:shd w:val="clear" w:color="auto" w:fill="auto"/>
            <w:noWrap/>
            <w:vAlign w:val="bottom"/>
            <w:hideMark/>
          </w:tcPr>
          <w:p w14:paraId="23B0C143" w14:textId="77777777" w:rsidR="00D55B81" w:rsidRPr="0088141F" w:rsidRDefault="005E534D"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20.039.685</w:t>
            </w:r>
          </w:p>
        </w:tc>
        <w:tc>
          <w:tcPr>
            <w:tcW w:w="924" w:type="dxa"/>
            <w:tcBorders>
              <w:top w:val="single" w:sz="4" w:space="0" w:color="auto"/>
              <w:left w:val="nil"/>
              <w:bottom w:val="nil"/>
              <w:right w:val="nil"/>
            </w:tcBorders>
            <w:shd w:val="clear" w:color="auto" w:fill="auto"/>
            <w:noWrap/>
            <w:vAlign w:val="bottom"/>
            <w:hideMark/>
          </w:tcPr>
          <w:p w14:paraId="4EF2EB60" w14:textId="77777777" w:rsidR="00D55B81" w:rsidRPr="0088141F" w:rsidRDefault="009C4C8B" w:rsidP="005E534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18,2</w:t>
            </w:r>
          </w:p>
        </w:tc>
        <w:tc>
          <w:tcPr>
            <w:tcW w:w="1190" w:type="dxa"/>
            <w:tcBorders>
              <w:top w:val="single" w:sz="4" w:space="0" w:color="auto"/>
              <w:left w:val="nil"/>
              <w:bottom w:val="nil"/>
              <w:right w:val="nil"/>
            </w:tcBorders>
            <w:shd w:val="clear" w:color="auto" w:fill="auto"/>
            <w:noWrap/>
            <w:vAlign w:val="bottom"/>
            <w:hideMark/>
          </w:tcPr>
          <w:p w14:paraId="583C9904" w14:textId="77777777" w:rsidR="00D55B81" w:rsidRPr="0088141F" w:rsidRDefault="009C4C8B" w:rsidP="005E534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9,2</w:t>
            </w:r>
          </w:p>
        </w:tc>
      </w:tr>
      <w:tr w:rsidR="00D55B81" w:rsidRPr="0088141F" w14:paraId="6E19C9CA" w14:textId="77777777" w:rsidTr="007B0CCB">
        <w:trPr>
          <w:trHeight w:val="20"/>
        </w:trPr>
        <w:tc>
          <w:tcPr>
            <w:tcW w:w="3402" w:type="dxa"/>
            <w:tcBorders>
              <w:top w:val="nil"/>
              <w:left w:val="nil"/>
              <w:bottom w:val="nil"/>
              <w:right w:val="nil"/>
            </w:tcBorders>
            <w:shd w:val="clear" w:color="auto" w:fill="auto"/>
            <w:noWrap/>
            <w:vAlign w:val="bottom"/>
            <w:hideMark/>
          </w:tcPr>
          <w:p w14:paraId="1B03067F" w14:textId="77777777" w:rsidR="00D55B81" w:rsidRPr="0088141F" w:rsidRDefault="00D55B81" w:rsidP="009C4C8B">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Matas ou Florestas Nat</w:t>
            </w:r>
            <w:r w:rsidR="009C4C8B" w:rsidRPr="0088141F">
              <w:rPr>
                <w:rFonts w:ascii="Times New Roman" w:eastAsia="Times New Roman" w:hAnsi="Times New Roman" w:cs="Times New Roman"/>
                <w:sz w:val="20"/>
                <w:szCs w:val="20"/>
              </w:rPr>
              <w:t>urais (c)</w:t>
            </w:r>
          </w:p>
        </w:tc>
        <w:tc>
          <w:tcPr>
            <w:tcW w:w="1276" w:type="dxa"/>
            <w:tcBorders>
              <w:top w:val="nil"/>
              <w:left w:val="nil"/>
              <w:bottom w:val="nil"/>
              <w:right w:val="nil"/>
            </w:tcBorders>
            <w:shd w:val="clear" w:color="auto" w:fill="auto"/>
            <w:noWrap/>
            <w:vAlign w:val="bottom"/>
            <w:hideMark/>
          </w:tcPr>
          <w:p w14:paraId="5E1CF6E0"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19.106.923</w:t>
            </w:r>
          </w:p>
        </w:tc>
        <w:tc>
          <w:tcPr>
            <w:tcW w:w="873" w:type="dxa"/>
            <w:tcBorders>
              <w:top w:val="nil"/>
              <w:left w:val="nil"/>
              <w:bottom w:val="nil"/>
              <w:right w:val="nil"/>
            </w:tcBorders>
            <w:shd w:val="clear" w:color="auto" w:fill="auto"/>
            <w:noWrap/>
            <w:vAlign w:val="bottom"/>
            <w:hideMark/>
          </w:tcPr>
          <w:p w14:paraId="1837C6D2"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20,0</w:t>
            </w:r>
          </w:p>
        </w:tc>
        <w:tc>
          <w:tcPr>
            <w:tcW w:w="1395" w:type="dxa"/>
            <w:tcBorders>
              <w:top w:val="nil"/>
              <w:left w:val="nil"/>
              <w:bottom w:val="nil"/>
              <w:right w:val="nil"/>
            </w:tcBorders>
            <w:shd w:val="clear" w:color="auto" w:fill="auto"/>
            <w:noWrap/>
            <w:vAlign w:val="bottom"/>
          </w:tcPr>
          <w:p w14:paraId="2ED318CB" w14:textId="77777777" w:rsidR="00D55B81" w:rsidRPr="0088141F" w:rsidRDefault="009C4C8B"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20.730.320</w:t>
            </w:r>
          </w:p>
        </w:tc>
        <w:tc>
          <w:tcPr>
            <w:tcW w:w="924" w:type="dxa"/>
            <w:tcBorders>
              <w:top w:val="nil"/>
              <w:left w:val="nil"/>
              <w:bottom w:val="nil"/>
              <w:right w:val="nil"/>
            </w:tcBorders>
            <w:shd w:val="clear" w:color="auto" w:fill="auto"/>
            <w:noWrap/>
            <w:vAlign w:val="bottom"/>
            <w:hideMark/>
          </w:tcPr>
          <w:p w14:paraId="736AE78E" w14:textId="77777777" w:rsidR="00D55B81" w:rsidRPr="0088141F" w:rsidRDefault="009C4C8B"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19,5</w:t>
            </w:r>
          </w:p>
        </w:tc>
        <w:tc>
          <w:tcPr>
            <w:tcW w:w="1190" w:type="dxa"/>
            <w:tcBorders>
              <w:top w:val="nil"/>
              <w:left w:val="nil"/>
              <w:bottom w:val="nil"/>
              <w:right w:val="nil"/>
            </w:tcBorders>
            <w:shd w:val="clear" w:color="auto" w:fill="auto"/>
            <w:noWrap/>
            <w:vAlign w:val="bottom"/>
            <w:hideMark/>
          </w:tcPr>
          <w:p w14:paraId="67421B2F"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8,5</w:t>
            </w:r>
          </w:p>
        </w:tc>
      </w:tr>
      <w:tr w:rsidR="00D55B81" w:rsidRPr="0088141F" w14:paraId="74DFC054" w14:textId="77777777" w:rsidTr="007B0CCB">
        <w:trPr>
          <w:trHeight w:val="20"/>
        </w:trPr>
        <w:tc>
          <w:tcPr>
            <w:tcW w:w="3402" w:type="dxa"/>
            <w:tcBorders>
              <w:top w:val="nil"/>
              <w:left w:val="nil"/>
              <w:bottom w:val="nil"/>
              <w:right w:val="nil"/>
            </w:tcBorders>
            <w:shd w:val="clear" w:color="auto" w:fill="auto"/>
            <w:noWrap/>
            <w:vAlign w:val="bottom"/>
            <w:hideMark/>
          </w:tcPr>
          <w:p w14:paraId="6E5F43EA"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Florestas Plantadas</w:t>
            </w:r>
          </w:p>
        </w:tc>
        <w:tc>
          <w:tcPr>
            <w:tcW w:w="1276" w:type="dxa"/>
            <w:tcBorders>
              <w:top w:val="nil"/>
              <w:left w:val="nil"/>
              <w:bottom w:val="nil"/>
              <w:right w:val="nil"/>
            </w:tcBorders>
            <w:shd w:val="clear" w:color="auto" w:fill="auto"/>
            <w:noWrap/>
            <w:vAlign w:val="bottom"/>
            <w:hideMark/>
          </w:tcPr>
          <w:p w14:paraId="57BD59D3"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69.714</w:t>
            </w:r>
          </w:p>
        </w:tc>
        <w:tc>
          <w:tcPr>
            <w:tcW w:w="873" w:type="dxa"/>
            <w:tcBorders>
              <w:top w:val="nil"/>
              <w:left w:val="nil"/>
              <w:bottom w:val="nil"/>
              <w:right w:val="nil"/>
            </w:tcBorders>
            <w:shd w:val="clear" w:color="auto" w:fill="auto"/>
            <w:noWrap/>
            <w:vAlign w:val="bottom"/>
            <w:hideMark/>
          </w:tcPr>
          <w:p w14:paraId="162BCA33"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w:t>
            </w:r>
          </w:p>
        </w:tc>
        <w:tc>
          <w:tcPr>
            <w:tcW w:w="1395" w:type="dxa"/>
            <w:tcBorders>
              <w:top w:val="nil"/>
              <w:left w:val="nil"/>
              <w:bottom w:val="nil"/>
              <w:right w:val="nil"/>
            </w:tcBorders>
            <w:shd w:val="clear" w:color="auto" w:fill="auto"/>
            <w:noWrap/>
            <w:vAlign w:val="bottom"/>
            <w:hideMark/>
          </w:tcPr>
          <w:p w14:paraId="28F8B223"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201.102</w:t>
            </w:r>
          </w:p>
        </w:tc>
        <w:tc>
          <w:tcPr>
            <w:tcW w:w="924" w:type="dxa"/>
            <w:tcBorders>
              <w:top w:val="nil"/>
              <w:left w:val="nil"/>
              <w:bottom w:val="nil"/>
              <w:right w:val="nil"/>
            </w:tcBorders>
            <w:shd w:val="clear" w:color="auto" w:fill="auto"/>
            <w:noWrap/>
            <w:vAlign w:val="bottom"/>
            <w:hideMark/>
          </w:tcPr>
          <w:p w14:paraId="67D6B79D"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2,3</w:t>
            </w:r>
          </w:p>
        </w:tc>
        <w:tc>
          <w:tcPr>
            <w:tcW w:w="1190" w:type="dxa"/>
            <w:tcBorders>
              <w:top w:val="nil"/>
              <w:left w:val="nil"/>
              <w:bottom w:val="nil"/>
              <w:right w:val="nil"/>
            </w:tcBorders>
            <w:shd w:val="clear" w:color="auto" w:fill="auto"/>
            <w:noWrap/>
            <w:vAlign w:val="bottom"/>
            <w:hideMark/>
          </w:tcPr>
          <w:p w14:paraId="334EE62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188,5</w:t>
            </w:r>
          </w:p>
        </w:tc>
      </w:tr>
      <w:tr w:rsidR="00D55B81" w:rsidRPr="0088141F" w14:paraId="6E242CD1" w14:textId="77777777" w:rsidTr="007B0CCB">
        <w:trPr>
          <w:trHeight w:val="20"/>
        </w:trPr>
        <w:tc>
          <w:tcPr>
            <w:tcW w:w="3402" w:type="dxa"/>
            <w:tcBorders>
              <w:top w:val="nil"/>
              <w:left w:val="nil"/>
              <w:bottom w:val="single" w:sz="4" w:space="0" w:color="auto"/>
              <w:right w:val="nil"/>
            </w:tcBorders>
            <w:shd w:val="clear" w:color="auto" w:fill="auto"/>
            <w:noWrap/>
            <w:vAlign w:val="bottom"/>
            <w:hideMark/>
          </w:tcPr>
          <w:p w14:paraId="46E23AC5" w14:textId="77777777" w:rsidR="00D55B81" w:rsidRPr="0088141F" w:rsidRDefault="00D55B81" w:rsidP="00D55B81">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Ar. Mata Flor/Ar. Total (%)</w:t>
            </w:r>
          </w:p>
        </w:tc>
        <w:tc>
          <w:tcPr>
            <w:tcW w:w="1276" w:type="dxa"/>
            <w:tcBorders>
              <w:top w:val="nil"/>
              <w:left w:val="nil"/>
              <w:bottom w:val="single" w:sz="4" w:space="0" w:color="auto"/>
              <w:right w:val="nil"/>
            </w:tcBorders>
            <w:shd w:val="clear" w:color="auto" w:fill="auto"/>
            <w:noWrap/>
            <w:vAlign w:val="bottom"/>
            <w:hideMark/>
          </w:tcPr>
          <w:p w14:paraId="6FF572E7"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39,4</w:t>
            </w:r>
          </w:p>
        </w:tc>
        <w:tc>
          <w:tcPr>
            <w:tcW w:w="873" w:type="dxa"/>
            <w:tcBorders>
              <w:top w:val="nil"/>
              <w:left w:val="nil"/>
              <w:bottom w:val="single" w:sz="4" w:space="0" w:color="auto"/>
              <w:right w:val="nil"/>
            </w:tcBorders>
            <w:shd w:val="clear" w:color="auto" w:fill="auto"/>
            <w:noWrap/>
            <w:vAlign w:val="bottom"/>
            <w:hideMark/>
          </w:tcPr>
          <w:p w14:paraId="3645F1DE"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395" w:type="dxa"/>
            <w:tcBorders>
              <w:top w:val="nil"/>
              <w:left w:val="nil"/>
              <w:bottom w:val="single" w:sz="4" w:space="0" w:color="auto"/>
              <w:right w:val="nil"/>
            </w:tcBorders>
            <w:shd w:val="clear" w:color="auto" w:fill="auto"/>
            <w:noWrap/>
            <w:vAlign w:val="bottom"/>
            <w:hideMark/>
          </w:tcPr>
          <w:p w14:paraId="345CA57F" w14:textId="77777777" w:rsidR="00D55B81" w:rsidRPr="0088141F" w:rsidRDefault="00D55B81" w:rsidP="009C4C8B">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w:t>
            </w:r>
            <w:r w:rsidR="009C4C8B" w:rsidRPr="0088141F">
              <w:rPr>
                <w:rFonts w:ascii="Times New Roman" w:eastAsia="Times New Roman" w:hAnsi="Times New Roman" w:cs="Times New Roman"/>
                <w:sz w:val="20"/>
                <w:szCs w:val="20"/>
              </w:rPr>
              <w:t>8</w:t>
            </w:r>
            <w:r w:rsidRPr="0088141F">
              <w:rPr>
                <w:rFonts w:ascii="Times New Roman" w:eastAsia="Times New Roman" w:hAnsi="Times New Roman" w:cs="Times New Roman"/>
                <w:sz w:val="20"/>
                <w:szCs w:val="20"/>
              </w:rPr>
              <w:t>,</w:t>
            </w:r>
            <w:r w:rsidR="009C4C8B" w:rsidRPr="0088141F">
              <w:rPr>
                <w:rFonts w:ascii="Times New Roman" w:eastAsia="Times New Roman" w:hAnsi="Times New Roman" w:cs="Times New Roman"/>
                <w:sz w:val="20"/>
                <w:szCs w:val="20"/>
              </w:rPr>
              <w:t>1</w:t>
            </w:r>
          </w:p>
        </w:tc>
        <w:tc>
          <w:tcPr>
            <w:tcW w:w="924" w:type="dxa"/>
            <w:tcBorders>
              <w:top w:val="nil"/>
              <w:left w:val="nil"/>
              <w:bottom w:val="single" w:sz="4" w:space="0" w:color="auto"/>
              <w:right w:val="nil"/>
            </w:tcBorders>
            <w:shd w:val="clear" w:color="auto" w:fill="auto"/>
            <w:noWrap/>
            <w:vAlign w:val="bottom"/>
            <w:hideMark/>
          </w:tcPr>
          <w:p w14:paraId="6145B66D"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90" w:type="dxa"/>
            <w:tcBorders>
              <w:top w:val="nil"/>
              <w:left w:val="nil"/>
              <w:bottom w:val="single" w:sz="4" w:space="0" w:color="auto"/>
              <w:right w:val="nil"/>
            </w:tcBorders>
            <w:shd w:val="clear" w:color="auto" w:fill="auto"/>
            <w:noWrap/>
            <w:vAlign w:val="bottom"/>
            <w:hideMark/>
          </w:tcPr>
          <w:p w14:paraId="4A7463C4" w14:textId="77777777" w:rsidR="00D55B81" w:rsidRPr="0088141F" w:rsidRDefault="00D55B81" w:rsidP="00D55B81">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r>
    </w:tbl>
    <w:p w14:paraId="7CD84D3A" w14:textId="77777777" w:rsidR="00977B76" w:rsidRPr="0088141F" w:rsidRDefault="00977B76" w:rsidP="009C4C8B">
      <w:pPr>
        <w:spacing w:after="0" w:line="240" w:lineRule="auto"/>
        <w:jc w:val="both"/>
        <w:rPr>
          <w:rFonts w:ascii="Times New Roman" w:hAnsi="Times New Roman" w:cs="Times New Roman"/>
          <w:sz w:val="20"/>
          <w:szCs w:val="20"/>
        </w:rPr>
      </w:pPr>
      <w:r w:rsidRPr="0088141F">
        <w:rPr>
          <w:rFonts w:ascii="Times New Roman" w:hAnsi="Times New Roman" w:cs="Times New Roman"/>
          <w:b/>
          <w:sz w:val="20"/>
          <w:szCs w:val="20"/>
        </w:rPr>
        <w:t>Fonte:</w:t>
      </w:r>
      <w:r w:rsidRPr="0088141F">
        <w:rPr>
          <w:rFonts w:ascii="Times New Roman" w:hAnsi="Times New Roman" w:cs="Times New Roman"/>
          <w:sz w:val="20"/>
          <w:szCs w:val="20"/>
        </w:rPr>
        <w:t xml:space="preserve"> IBGE. Censo Agropecuário (2006; 2017).</w:t>
      </w:r>
    </w:p>
    <w:p w14:paraId="11179B4A" w14:textId="77777777" w:rsidR="00977B76" w:rsidRPr="0088141F" w:rsidRDefault="009C4C8B" w:rsidP="009C4C8B">
      <w:pPr>
        <w:autoSpaceDE w:val="0"/>
        <w:autoSpaceDN w:val="0"/>
        <w:adjustRightInd w:val="0"/>
        <w:spacing w:after="0" w:line="240" w:lineRule="auto"/>
        <w:jc w:val="both"/>
        <w:rPr>
          <w:rFonts w:ascii="Times New Roman" w:hAnsi="Times New Roman" w:cs="Times New Roman"/>
          <w:sz w:val="20"/>
          <w:szCs w:val="20"/>
        </w:rPr>
      </w:pPr>
      <w:r w:rsidRPr="0088141F">
        <w:rPr>
          <w:rFonts w:ascii="Times New Roman" w:hAnsi="Times New Roman" w:cs="Times New Roman"/>
          <w:sz w:val="20"/>
          <w:szCs w:val="20"/>
        </w:rPr>
        <w:t>a) Lavouras temporárias e cultivo de flores, inclusive hidroponia e plasticultura, viveiros de mudas, estufas de plantas e casas de vegetação e forrageiras para corte na data de referência. (b) Pastagens plantadas, em más condições por manejo inadequado ou por falta de conservação, e em boas condições, incluindo aquelas em processo de recuperação em na data de referência. (c) Matas e/ou florestas naturais destinadas à preservação permanente ou reserva legal, matas e/ou florestas naturais e áreas florestais também usadas para lavouras e pastoreio de animais na data de referência.</w:t>
      </w:r>
    </w:p>
    <w:p w14:paraId="51AD2B0A" w14:textId="77777777" w:rsidR="00F438D7" w:rsidRPr="00EE792E" w:rsidRDefault="00F438D7" w:rsidP="00F438D7">
      <w:pPr>
        <w:tabs>
          <w:tab w:val="left" w:pos="1620"/>
        </w:tabs>
        <w:spacing w:after="0" w:line="240" w:lineRule="auto"/>
        <w:jc w:val="both"/>
        <w:rPr>
          <w:rFonts w:ascii="Times New Roman" w:hAnsi="Times New Roman" w:cs="Times New Roman"/>
        </w:rPr>
      </w:pPr>
    </w:p>
    <w:p w14:paraId="7B591192" w14:textId="77777777" w:rsidR="00F438D7" w:rsidRPr="0088141F" w:rsidRDefault="00357EB5" w:rsidP="00F438D7">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Os dados apresentados corroboram o aumento da concentração </w:t>
      </w:r>
      <w:r w:rsidR="002E259D" w:rsidRPr="0088141F">
        <w:rPr>
          <w:rFonts w:ascii="Times New Roman" w:hAnsi="Times New Roman" w:cs="Times New Roman"/>
          <w:sz w:val="24"/>
          <w:szCs w:val="24"/>
        </w:rPr>
        <w:t xml:space="preserve">fundiária e da expansão da lavoura temporária utilizada, sobretudo, para a produção de </w:t>
      </w:r>
      <w:r w:rsidR="002E259D" w:rsidRPr="007F106E">
        <w:rPr>
          <w:rFonts w:ascii="Times New Roman" w:hAnsi="Times New Roman" w:cs="Times New Roman"/>
          <w:i/>
          <w:iCs/>
          <w:sz w:val="24"/>
          <w:szCs w:val="24"/>
        </w:rPr>
        <w:t>commodities</w:t>
      </w:r>
      <w:r w:rsidR="002E259D" w:rsidRPr="0088141F">
        <w:rPr>
          <w:rFonts w:ascii="Times New Roman" w:hAnsi="Times New Roman" w:cs="Times New Roman"/>
          <w:sz w:val="24"/>
          <w:szCs w:val="24"/>
        </w:rPr>
        <w:t xml:space="preserve"> voltadas para o </w:t>
      </w:r>
      <w:r w:rsidR="002E259D" w:rsidRPr="0088141F">
        <w:rPr>
          <w:rFonts w:ascii="Times New Roman" w:hAnsi="Times New Roman" w:cs="Times New Roman"/>
          <w:sz w:val="24"/>
          <w:szCs w:val="24"/>
        </w:rPr>
        <w:lastRenderedPageBreak/>
        <w:t xml:space="preserve">mercado externo, o que contribuiu para a elevação do </w:t>
      </w:r>
      <w:r w:rsidR="00F438D7" w:rsidRPr="0088141F">
        <w:rPr>
          <w:rFonts w:ascii="Times New Roman" w:hAnsi="Times New Roman" w:cs="Times New Roman"/>
          <w:sz w:val="24"/>
          <w:szCs w:val="24"/>
        </w:rPr>
        <w:t>preço</w:t>
      </w:r>
      <w:r w:rsidR="002E259D" w:rsidRPr="0088141F">
        <w:rPr>
          <w:rFonts w:ascii="Times New Roman" w:hAnsi="Times New Roman" w:cs="Times New Roman"/>
          <w:sz w:val="24"/>
          <w:szCs w:val="24"/>
        </w:rPr>
        <w:t xml:space="preserve"> da terra, tornando-a um ativo </w:t>
      </w:r>
      <w:r w:rsidR="00F438D7" w:rsidRPr="0088141F">
        <w:rPr>
          <w:rFonts w:ascii="Times New Roman" w:hAnsi="Times New Roman" w:cs="Times New Roman"/>
          <w:sz w:val="24"/>
          <w:szCs w:val="24"/>
        </w:rPr>
        <w:t>para a valorização financeira. Assim, a próxima seção discute aspectos da tecnificação da estrutura produtiva e seus reflexos ambientais no contexto estadual.</w:t>
      </w:r>
    </w:p>
    <w:p w14:paraId="2304004F" w14:textId="77777777" w:rsidR="006369DD" w:rsidRPr="0088141F" w:rsidRDefault="006369DD" w:rsidP="007B0CCB">
      <w:pPr>
        <w:tabs>
          <w:tab w:val="left" w:pos="1620"/>
        </w:tabs>
        <w:spacing w:after="0" w:line="240" w:lineRule="auto"/>
        <w:rPr>
          <w:rFonts w:ascii="Times New Roman" w:hAnsi="Times New Roman" w:cs="Times New Roman"/>
          <w:sz w:val="24"/>
          <w:szCs w:val="24"/>
        </w:rPr>
      </w:pPr>
    </w:p>
    <w:p w14:paraId="6B8C8A53" w14:textId="77777777" w:rsidR="00366807" w:rsidRPr="0088141F" w:rsidRDefault="00454339" w:rsidP="003668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366807" w:rsidRPr="0088141F">
        <w:rPr>
          <w:rFonts w:ascii="Times New Roman" w:hAnsi="Times New Roman" w:cs="Times New Roman"/>
          <w:b/>
          <w:sz w:val="24"/>
          <w:szCs w:val="24"/>
        </w:rPr>
        <w:t>.2 A Especialização da Produção e seus Reflexos Ambientais</w:t>
      </w:r>
    </w:p>
    <w:p w14:paraId="09A371C4" w14:textId="77777777" w:rsidR="006369DD" w:rsidRPr="0088141F" w:rsidRDefault="006369DD" w:rsidP="007B0CCB">
      <w:pPr>
        <w:tabs>
          <w:tab w:val="left" w:pos="1620"/>
        </w:tabs>
        <w:spacing w:after="0" w:line="240" w:lineRule="auto"/>
        <w:rPr>
          <w:rFonts w:ascii="Times New Roman" w:hAnsi="Times New Roman" w:cs="Times New Roman"/>
          <w:sz w:val="24"/>
          <w:szCs w:val="24"/>
        </w:rPr>
      </w:pPr>
    </w:p>
    <w:p w14:paraId="5E5016FC" w14:textId="618DE462" w:rsidR="0088141F" w:rsidRPr="0088141F" w:rsidRDefault="0088141F" w:rsidP="007B0CCB">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Verifica-se que a</w:t>
      </w:r>
      <w:r w:rsidR="00357EB5" w:rsidRPr="0088141F">
        <w:rPr>
          <w:rFonts w:ascii="Times New Roman" w:hAnsi="Times New Roman" w:cs="Times New Roman"/>
          <w:sz w:val="24"/>
          <w:szCs w:val="24"/>
        </w:rPr>
        <w:t xml:space="preserve"> estrutura produtiva </w:t>
      </w:r>
      <w:r w:rsidRPr="0088141F">
        <w:rPr>
          <w:rFonts w:ascii="Times New Roman" w:hAnsi="Times New Roman" w:cs="Times New Roman"/>
          <w:sz w:val="24"/>
          <w:szCs w:val="24"/>
        </w:rPr>
        <w:t xml:space="preserve">mato-grossense </w:t>
      </w:r>
      <w:r w:rsidR="00357EB5" w:rsidRPr="0088141F">
        <w:rPr>
          <w:rFonts w:ascii="Times New Roman" w:hAnsi="Times New Roman" w:cs="Times New Roman"/>
          <w:sz w:val="24"/>
          <w:szCs w:val="24"/>
        </w:rPr>
        <w:t>se consolidou, elevando a participação do capital, ainda sem reduzir o trabalho na produção</w:t>
      </w:r>
      <w:r w:rsidR="00341C96">
        <w:rPr>
          <w:rFonts w:ascii="Times New Roman" w:hAnsi="Times New Roman" w:cs="Times New Roman"/>
          <w:sz w:val="24"/>
          <w:szCs w:val="24"/>
        </w:rPr>
        <w:t xml:space="preserve">. A </w:t>
      </w:r>
      <w:r w:rsidR="00380EA5">
        <w:rPr>
          <w:rFonts w:ascii="Times New Roman" w:hAnsi="Times New Roman" w:cs="Times New Roman"/>
          <w:sz w:val="24"/>
          <w:szCs w:val="24"/>
        </w:rPr>
        <w:t xml:space="preserve">expansão da </w:t>
      </w:r>
      <w:r w:rsidR="00357EB5" w:rsidRPr="0088141F">
        <w:rPr>
          <w:rFonts w:ascii="Times New Roman" w:hAnsi="Times New Roman" w:cs="Times New Roman"/>
          <w:sz w:val="24"/>
          <w:szCs w:val="24"/>
        </w:rPr>
        <w:t>tecnificação</w:t>
      </w:r>
      <w:r w:rsidR="00380EA5">
        <w:rPr>
          <w:rFonts w:ascii="Times New Roman" w:hAnsi="Times New Roman" w:cs="Times New Roman"/>
          <w:sz w:val="24"/>
          <w:szCs w:val="24"/>
        </w:rPr>
        <w:t xml:space="preserve"> se deu</w:t>
      </w:r>
      <w:r w:rsidR="00357EB5" w:rsidRPr="0088141F">
        <w:rPr>
          <w:rFonts w:ascii="Times New Roman" w:hAnsi="Times New Roman" w:cs="Times New Roman"/>
          <w:sz w:val="24"/>
          <w:szCs w:val="24"/>
        </w:rPr>
        <w:t>, ao mesmo tempo, que houve o aumento da área em grupos de maiores faixas de terra</w:t>
      </w:r>
      <w:r w:rsidR="00E76551">
        <w:rPr>
          <w:rFonts w:ascii="Times New Roman" w:hAnsi="Times New Roman" w:cs="Times New Roman"/>
          <w:sz w:val="24"/>
          <w:szCs w:val="24"/>
        </w:rPr>
        <w:t xml:space="preserve">, o que pode ser explicado </w:t>
      </w:r>
      <w:r w:rsidR="00357EB5" w:rsidRPr="0088141F">
        <w:rPr>
          <w:rFonts w:ascii="Times New Roman" w:hAnsi="Times New Roman" w:cs="Times New Roman"/>
          <w:sz w:val="24"/>
          <w:szCs w:val="24"/>
        </w:rPr>
        <w:t>porque os produtores das grandes fazendas locais têm recursos próprios ou acessam o sistema de crédito</w:t>
      </w:r>
      <w:r w:rsidR="004A67C8">
        <w:rPr>
          <w:rFonts w:ascii="Times New Roman" w:hAnsi="Times New Roman" w:cs="Times New Roman"/>
          <w:sz w:val="24"/>
          <w:szCs w:val="24"/>
        </w:rPr>
        <w:t xml:space="preserve"> para tal</w:t>
      </w:r>
      <w:r w:rsidR="00357EB5" w:rsidRPr="0088141F">
        <w:rPr>
          <w:rFonts w:ascii="Times New Roman" w:hAnsi="Times New Roman" w:cs="Times New Roman"/>
          <w:sz w:val="24"/>
          <w:szCs w:val="24"/>
        </w:rPr>
        <w:t>.</w:t>
      </w:r>
      <w:r w:rsidRPr="0088141F">
        <w:rPr>
          <w:rFonts w:ascii="Times New Roman" w:hAnsi="Times New Roman" w:cs="Times New Roman"/>
          <w:sz w:val="24"/>
          <w:szCs w:val="24"/>
        </w:rPr>
        <w:t xml:space="preserve"> De fato, a</w:t>
      </w:r>
      <w:r w:rsidR="006B4EF2" w:rsidRPr="0088141F">
        <w:rPr>
          <w:rFonts w:ascii="Times New Roman" w:hAnsi="Times New Roman" w:cs="Times New Roman"/>
          <w:sz w:val="24"/>
          <w:szCs w:val="24"/>
        </w:rPr>
        <w:t xml:space="preserve">s maiores novidades, parecem estar nos dados de tecnificação dos estabelecimentos agropecuários, conforme apresentado na Tabela 3. </w:t>
      </w:r>
    </w:p>
    <w:p w14:paraId="0C53727B" w14:textId="77777777" w:rsidR="0054131D" w:rsidRPr="0088141F" w:rsidRDefault="0054131D" w:rsidP="00880DC0">
      <w:pPr>
        <w:tabs>
          <w:tab w:val="left" w:pos="1620"/>
        </w:tabs>
        <w:spacing w:after="0" w:line="240" w:lineRule="auto"/>
        <w:rPr>
          <w:rFonts w:ascii="Times New Roman" w:hAnsi="Times New Roman" w:cs="Times New Roman"/>
          <w:sz w:val="24"/>
          <w:szCs w:val="24"/>
        </w:rPr>
      </w:pPr>
    </w:p>
    <w:p w14:paraId="785B96F2" w14:textId="0C14D29D" w:rsidR="00D55B81" w:rsidRPr="0088141F" w:rsidRDefault="00D55B81" w:rsidP="00D55B81">
      <w:pPr>
        <w:spacing w:after="0" w:line="240" w:lineRule="auto"/>
        <w:jc w:val="both"/>
        <w:rPr>
          <w:rFonts w:ascii="Times New Roman" w:hAnsi="Times New Roman" w:cs="Times New Roman"/>
          <w:b/>
          <w:sz w:val="24"/>
          <w:szCs w:val="24"/>
        </w:rPr>
      </w:pPr>
      <w:r w:rsidRPr="0064334E">
        <w:rPr>
          <w:rFonts w:ascii="Times New Roman" w:hAnsi="Times New Roman" w:cs="Times New Roman"/>
          <w:b/>
          <w:sz w:val="24"/>
          <w:szCs w:val="24"/>
        </w:rPr>
        <w:t xml:space="preserve">Tabela 3: Evolução de Indicadores de Tecnificação dos Estabelecimentos </w:t>
      </w:r>
      <w:r w:rsidR="0064334E">
        <w:rPr>
          <w:rFonts w:ascii="Times New Roman" w:hAnsi="Times New Roman" w:cs="Times New Roman"/>
          <w:b/>
          <w:sz w:val="24"/>
          <w:szCs w:val="24"/>
        </w:rPr>
        <w:t xml:space="preserve">Agropecuários </w:t>
      </w:r>
      <w:r w:rsidRPr="0064334E">
        <w:rPr>
          <w:rFonts w:ascii="Times New Roman" w:hAnsi="Times New Roman" w:cs="Times New Roman"/>
          <w:b/>
          <w:sz w:val="24"/>
          <w:szCs w:val="24"/>
        </w:rPr>
        <w:t>do Estado de</w:t>
      </w:r>
      <w:r w:rsidRPr="0088141F">
        <w:rPr>
          <w:rFonts w:ascii="Times New Roman" w:hAnsi="Times New Roman" w:cs="Times New Roman"/>
          <w:b/>
          <w:sz w:val="24"/>
          <w:szCs w:val="24"/>
        </w:rPr>
        <w:t xml:space="preserve"> Mato Grosso e Participação no</w:t>
      </w:r>
      <w:r w:rsidR="00E02E55">
        <w:rPr>
          <w:rFonts w:ascii="Times New Roman" w:hAnsi="Times New Roman" w:cs="Times New Roman"/>
          <w:b/>
          <w:sz w:val="24"/>
          <w:szCs w:val="24"/>
        </w:rPr>
        <w:t xml:space="preserve"> </w:t>
      </w:r>
      <w:r w:rsidRPr="0088141F">
        <w:rPr>
          <w:rFonts w:ascii="Times New Roman" w:hAnsi="Times New Roman" w:cs="Times New Roman"/>
          <w:b/>
          <w:sz w:val="24"/>
          <w:szCs w:val="24"/>
        </w:rPr>
        <w:t>Brasil, para os Censos de 2006 e 2017.</w:t>
      </w:r>
    </w:p>
    <w:tbl>
      <w:tblPr>
        <w:tblW w:w="9095" w:type="dxa"/>
        <w:tblCellMar>
          <w:left w:w="70" w:type="dxa"/>
          <w:right w:w="70" w:type="dxa"/>
        </w:tblCellMar>
        <w:tblLook w:val="04A0" w:firstRow="1" w:lastRow="0" w:firstColumn="1" w:lastColumn="0" w:noHBand="0" w:noVBand="1"/>
      </w:tblPr>
      <w:tblGrid>
        <w:gridCol w:w="3828"/>
        <w:gridCol w:w="1134"/>
        <w:gridCol w:w="889"/>
        <w:gridCol w:w="1130"/>
        <w:gridCol w:w="900"/>
        <w:gridCol w:w="1214"/>
      </w:tblGrid>
      <w:tr w:rsidR="003045D9" w:rsidRPr="0088141F" w14:paraId="604D7FC9" w14:textId="77777777" w:rsidTr="00E679EE">
        <w:trPr>
          <w:trHeight w:val="20"/>
        </w:trPr>
        <w:tc>
          <w:tcPr>
            <w:tcW w:w="3828" w:type="dxa"/>
            <w:tcBorders>
              <w:top w:val="single" w:sz="8" w:space="0" w:color="auto"/>
              <w:left w:val="nil"/>
              <w:bottom w:val="nil"/>
              <w:right w:val="nil"/>
            </w:tcBorders>
            <w:shd w:val="clear" w:color="auto" w:fill="auto"/>
            <w:noWrap/>
            <w:vAlign w:val="center"/>
            <w:hideMark/>
          </w:tcPr>
          <w:p w14:paraId="6CBABFF1"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INDICADOR</w:t>
            </w:r>
          </w:p>
        </w:tc>
        <w:tc>
          <w:tcPr>
            <w:tcW w:w="2023" w:type="dxa"/>
            <w:gridSpan w:val="2"/>
            <w:tcBorders>
              <w:top w:val="single" w:sz="8" w:space="0" w:color="auto"/>
              <w:left w:val="nil"/>
              <w:bottom w:val="single" w:sz="8" w:space="0" w:color="auto"/>
              <w:right w:val="nil"/>
            </w:tcBorders>
            <w:shd w:val="clear" w:color="auto" w:fill="auto"/>
            <w:noWrap/>
            <w:vAlign w:val="center"/>
            <w:hideMark/>
          </w:tcPr>
          <w:p w14:paraId="53626E78"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2006</w:t>
            </w:r>
          </w:p>
        </w:tc>
        <w:tc>
          <w:tcPr>
            <w:tcW w:w="2030" w:type="dxa"/>
            <w:gridSpan w:val="2"/>
            <w:tcBorders>
              <w:top w:val="single" w:sz="8" w:space="0" w:color="auto"/>
              <w:left w:val="nil"/>
              <w:bottom w:val="single" w:sz="8" w:space="0" w:color="auto"/>
              <w:right w:val="nil"/>
            </w:tcBorders>
            <w:shd w:val="clear" w:color="auto" w:fill="auto"/>
            <w:noWrap/>
            <w:vAlign w:val="center"/>
            <w:hideMark/>
          </w:tcPr>
          <w:p w14:paraId="0234DD6B"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2017</w:t>
            </w:r>
          </w:p>
        </w:tc>
        <w:tc>
          <w:tcPr>
            <w:tcW w:w="1214" w:type="dxa"/>
            <w:tcBorders>
              <w:top w:val="single" w:sz="8" w:space="0" w:color="auto"/>
              <w:left w:val="nil"/>
              <w:bottom w:val="nil"/>
              <w:right w:val="nil"/>
            </w:tcBorders>
            <w:shd w:val="clear" w:color="auto" w:fill="auto"/>
            <w:vAlign w:val="center"/>
            <w:hideMark/>
          </w:tcPr>
          <w:p w14:paraId="411F13F5"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Variação %</w:t>
            </w:r>
          </w:p>
        </w:tc>
      </w:tr>
      <w:tr w:rsidR="003045D9" w:rsidRPr="0088141F" w14:paraId="5DF30398" w14:textId="77777777" w:rsidTr="00E679EE">
        <w:trPr>
          <w:trHeight w:val="20"/>
        </w:trPr>
        <w:tc>
          <w:tcPr>
            <w:tcW w:w="3828" w:type="dxa"/>
            <w:vMerge w:val="restart"/>
            <w:tcBorders>
              <w:top w:val="single" w:sz="8" w:space="0" w:color="auto"/>
              <w:left w:val="nil"/>
              <w:bottom w:val="single" w:sz="8" w:space="0" w:color="000000"/>
              <w:right w:val="nil"/>
            </w:tcBorders>
            <w:shd w:val="clear" w:color="auto" w:fill="auto"/>
            <w:noWrap/>
            <w:vAlign w:val="center"/>
            <w:hideMark/>
          </w:tcPr>
          <w:p w14:paraId="182C3470" w14:textId="77777777" w:rsidR="003045D9" w:rsidRPr="0088141F" w:rsidRDefault="003045D9" w:rsidP="003045D9">
            <w:pPr>
              <w:spacing w:after="0" w:line="240" w:lineRule="auto"/>
              <w:jc w:val="both"/>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w:t>
            </w:r>
          </w:p>
        </w:tc>
        <w:tc>
          <w:tcPr>
            <w:tcW w:w="1134" w:type="dxa"/>
            <w:vMerge w:val="restart"/>
            <w:tcBorders>
              <w:top w:val="nil"/>
              <w:left w:val="nil"/>
              <w:bottom w:val="single" w:sz="8" w:space="0" w:color="000000"/>
              <w:right w:val="nil"/>
            </w:tcBorders>
            <w:shd w:val="clear" w:color="auto" w:fill="auto"/>
            <w:noWrap/>
            <w:vAlign w:val="center"/>
            <w:hideMark/>
          </w:tcPr>
          <w:p w14:paraId="72E46E2C" w14:textId="77777777" w:rsidR="003045D9" w:rsidRPr="0088141F" w:rsidRDefault="007B0CCB" w:rsidP="007B0CCB">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Mato Grosso</w:t>
            </w:r>
          </w:p>
        </w:tc>
        <w:tc>
          <w:tcPr>
            <w:tcW w:w="889" w:type="dxa"/>
            <w:tcBorders>
              <w:top w:val="nil"/>
              <w:left w:val="nil"/>
              <w:bottom w:val="nil"/>
              <w:right w:val="nil"/>
            </w:tcBorders>
            <w:shd w:val="clear" w:color="auto" w:fill="auto"/>
            <w:noWrap/>
            <w:vAlign w:val="center"/>
            <w:hideMark/>
          </w:tcPr>
          <w:p w14:paraId="406384BF"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Part. %</w:t>
            </w:r>
          </w:p>
        </w:tc>
        <w:tc>
          <w:tcPr>
            <w:tcW w:w="1130" w:type="dxa"/>
            <w:vMerge w:val="restart"/>
            <w:tcBorders>
              <w:top w:val="nil"/>
              <w:left w:val="nil"/>
              <w:bottom w:val="single" w:sz="8" w:space="0" w:color="000000"/>
              <w:right w:val="nil"/>
            </w:tcBorders>
            <w:shd w:val="clear" w:color="auto" w:fill="auto"/>
            <w:noWrap/>
            <w:vAlign w:val="center"/>
            <w:hideMark/>
          </w:tcPr>
          <w:p w14:paraId="44E8697B" w14:textId="77777777" w:rsidR="003045D9" w:rsidRPr="0088141F" w:rsidRDefault="007B0CCB"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Mato Grosso</w:t>
            </w:r>
          </w:p>
        </w:tc>
        <w:tc>
          <w:tcPr>
            <w:tcW w:w="900" w:type="dxa"/>
            <w:tcBorders>
              <w:top w:val="nil"/>
              <w:left w:val="nil"/>
              <w:bottom w:val="nil"/>
              <w:right w:val="nil"/>
            </w:tcBorders>
            <w:shd w:val="clear" w:color="auto" w:fill="auto"/>
            <w:noWrap/>
            <w:vAlign w:val="center"/>
            <w:hideMark/>
          </w:tcPr>
          <w:p w14:paraId="23236236"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Part. %</w:t>
            </w:r>
          </w:p>
        </w:tc>
        <w:tc>
          <w:tcPr>
            <w:tcW w:w="1214" w:type="dxa"/>
            <w:tcBorders>
              <w:top w:val="nil"/>
              <w:left w:val="nil"/>
              <w:bottom w:val="nil"/>
              <w:right w:val="nil"/>
            </w:tcBorders>
            <w:shd w:val="clear" w:color="auto" w:fill="auto"/>
            <w:vAlign w:val="center"/>
            <w:hideMark/>
          </w:tcPr>
          <w:p w14:paraId="1F7B72E2"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2006/2017</w:t>
            </w:r>
          </w:p>
        </w:tc>
      </w:tr>
      <w:tr w:rsidR="003045D9" w:rsidRPr="0088141F" w14:paraId="6811A330" w14:textId="77777777" w:rsidTr="00E679EE">
        <w:trPr>
          <w:trHeight w:val="20"/>
        </w:trPr>
        <w:tc>
          <w:tcPr>
            <w:tcW w:w="3828" w:type="dxa"/>
            <w:vMerge/>
            <w:tcBorders>
              <w:top w:val="single" w:sz="8" w:space="0" w:color="auto"/>
              <w:left w:val="nil"/>
              <w:bottom w:val="single" w:sz="4" w:space="0" w:color="auto"/>
              <w:right w:val="nil"/>
            </w:tcBorders>
            <w:vAlign w:val="center"/>
            <w:hideMark/>
          </w:tcPr>
          <w:p w14:paraId="4EDDC099" w14:textId="77777777" w:rsidR="003045D9" w:rsidRPr="0088141F" w:rsidRDefault="003045D9" w:rsidP="003045D9">
            <w:pPr>
              <w:spacing w:after="0" w:line="240" w:lineRule="auto"/>
              <w:rPr>
                <w:rFonts w:ascii="Times New Roman" w:eastAsia="Times New Roman" w:hAnsi="Times New Roman" w:cs="Times New Roman"/>
                <w:sz w:val="20"/>
                <w:szCs w:val="20"/>
              </w:rPr>
            </w:pPr>
          </w:p>
        </w:tc>
        <w:tc>
          <w:tcPr>
            <w:tcW w:w="1134" w:type="dxa"/>
            <w:vMerge/>
            <w:tcBorders>
              <w:top w:val="nil"/>
              <w:left w:val="nil"/>
              <w:bottom w:val="single" w:sz="4" w:space="0" w:color="auto"/>
              <w:right w:val="nil"/>
            </w:tcBorders>
            <w:vAlign w:val="center"/>
            <w:hideMark/>
          </w:tcPr>
          <w:p w14:paraId="2C329A61"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p>
        </w:tc>
        <w:tc>
          <w:tcPr>
            <w:tcW w:w="889" w:type="dxa"/>
            <w:tcBorders>
              <w:top w:val="nil"/>
              <w:left w:val="nil"/>
              <w:bottom w:val="single" w:sz="4" w:space="0" w:color="auto"/>
              <w:right w:val="nil"/>
            </w:tcBorders>
            <w:shd w:val="clear" w:color="auto" w:fill="auto"/>
            <w:noWrap/>
            <w:vAlign w:val="center"/>
            <w:hideMark/>
          </w:tcPr>
          <w:p w14:paraId="2C594B30"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Brasil</w:t>
            </w:r>
          </w:p>
        </w:tc>
        <w:tc>
          <w:tcPr>
            <w:tcW w:w="1130" w:type="dxa"/>
            <w:vMerge/>
            <w:tcBorders>
              <w:top w:val="nil"/>
              <w:left w:val="nil"/>
              <w:bottom w:val="single" w:sz="4" w:space="0" w:color="auto"/>
              <w:right w:val="nil"/>
            </w:tcBorders>
            <w:vAlign w:val="center"/>
            <w:hideMark/>
          </w:tcPr>
          <w:p w14:paraId="78A64301"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p>
        </w:tc>
        <w:tc>
          <w:tcPr>
            <w:tcW w:w="900" w:type="dxa"/>
            <w:tcBorders>
              <w:top w:val="nil"/>
              <w:left w:val="nil"/>
              <w:bottom w:val="single" w:sz="4" w:space="0" w:color="auto"/>
              <w:right w:val="nil"/>
            </w:tcBorders>
            <w:shd w:val="clear" w:color="auto" w:fill="auto"/>
            <w:noWrap/>
            <w:vAlign w:val="center"/>
            <w:hideMark/>
          </w:tcPr>
          <w:p w14:paraId="1D658403"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r w:rsidRPr="0088141F">
              <w:rPr>
                <w:rFonts w:ascii="Times New Roman" w:eastAsia="Times New Roman" w:hAnsi="Times New Roman" w:cs="Times New Roman"/>
                <w:b/>
                <w:bCs/>
                <w:sz w:val="20"/>
                <w:szCs w:val="20"/>
              </w:rPr>
              <w:t>Brasil</w:t>
            </w:r>
          </w:p>
        </w:tc>
        <w:tc>
          <w:tcPr>
            <w:tcW w:w="1214" w:type="dxa"/>
            <w:tcBorders>
              <w:top w:val="nil"/>
              <w:left w:val="nil"/>
              <w:bottom w:val="single" w:sz="4" w:space="0" w:color="auto"/>
              <w:right w:val="nil"/>
            </w:tcBorders>
            <w:shd w:val="clear" w:color="auto" w:fill="auto"/>
            <w:hideMark/>
          </w:tcPr>
          <w:p w14:paraId="5A862A4D" w14:textId="77777777" w:rsidR="003045D9" w:rsidRPr="0088141F" w:rsidRDefault="003045D9" w:rsidP="003045D9">
            <w:pPr>
              <w:spacing w:after="0" w:line="240" w:lineRule="auto"/>
              <w:jc w:val="center"/>
              <w:rPr>
                <w:rFonts w:ascii="Times New Roman" w:eastAsia="Times New Roman" w:hAnsi="Times New Roman" w:cs="Times New Roman"/>
                <w:b/>
                <w:bCs/>
                <w:sz w:val="20"/>
                <w:szCs w:val="20"/>
              </w:rPr>
            </w:pPr>
          </w:p>
        </w:tc>
      </w:tr>
      <w:tr w:rsidR="003045D9" w:rsidRPr="0088141F" w14:paraId="4A695329"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07AE52C4"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Pessoal Ocupado (s/ laço)</w:t>
            </w:r>
          </w:p>
        </w:tc>
        <w:tc>
          <w:tcPr>
            <w:tcW w:w="1134" w:type="dxa"/>
            <w:tcBorders>
              <w:top w:val="single" w:sz="4" w:space="0" w:color="auto"/>
              <w:left w:val="nil"/>
              <w:bottom w:val="nil"/>
              <w:right w:val="nil"/>
            </w:tcBorders>
            <w:shd w:val="clear" w:color="auto" w:fill="auto"/>
            <w:noWrap/>
            <w:vAlign w:val="bottom"/>
            <w:hideMark/>
          </w:tcPr>
          <w:p w14:paraId="45A9D303"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93.331</w:t>
            </w:r>
          </w:p>
        </w:tc>
        <w:tc>
          <w:tcPr>
            <w:tcW w:w="889" w:type="dxa"/>
            <w:tcBorders>
              <w:top w:val="single" w:sz="4" w:space="0" w:color="auto"/>
              <w:left w:val="nil"/>
              <w:bottom w:val="nil"/>
              <w:right w:val="nil"/>
            </w:tcBorders>
            <w:shd w:val="clear" w:color="auto" w:fill="auto"/>
            <w:noWrap/>
            <w:vAlign w:val="bottom"/>
            <w:hideMark/>
          </w:tcPr>
          <w:p w14:paraId="1F11019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2,5</w:t>
            </w:r>
          </w:p>
        </w:tc>
        <w:tc>
          <w:tcPr>
            <w:tcW w:w="1130" w:type="dxa"/>
            <w:tcBorders>
              <w:top w:val="single" w:sz="4" w:space="0" w:color="auto"/>
              <w:left w:val="nil"/>
              <w:bottom w:val="nil"/>
              <w:right w:val="nil"/>
            </w:tcBorders>
            <w:shd w:val="clear" w:color="auto" w:fill="auto"/>
            <w:noWrap/>
            <w:vAlign w:val="bottom"/>
            <w:hideMark/>
          </w:tcPr>
          <w:p w14:paraId="6A75EB98"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151.450</w:t>
            </w:r>
          </w:p>
        </w:tc>
        <w:tc>
          <w:tcPr>
            <w:tcW w:w="900" w:type="dxa"/>
            <w:tcBorders>
              <w:top w:val="single" w:sz="4" w:space="0" w:color="auto"/>
              <w:left w:val="nil"/>
              <w:bottom w:val="nil"/>
              <w:right w:val="nil"/>
            </w:tcBorders>
            <w:shd w:val="clear" w:color="auto" w:fill="auto"/>
            <w:noWrap/>
            <w:vAlign w:val="bottom"/>
            <w:hideMark/>
          </w:tcPr>
          <w:p w14:paraId="48DC10D7"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3,8</w:t>
            </w:r>
          </w:p>
        </w:tc>
        <w:tc>
          <w:tcPr>
            <w:tcW w:w="1214" w:type="dxa"/>
            <w:tcBorders>
              <w:top w:val="single" w:sz="4" w:space="0" w:color="auto"/>
              <w:left w:val="nil"/>
              <w:bottom w:val="nil"/>
              <w:right w:val="nil"/>
            </w:tcBorders>
            <w:shd w:val="clear" w:color="auto" w:fill="auto"/>
            <w:noWrap/>
            <w:vAlign w:val="bottom"/>
            <w:hideMark/>
          </w:tcPr>
          <w:p w14:paraId="3D7EF427"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62,3</w:t>
            </w:r>
          </w:p>
        </w:tc>
      </w:tr>
      <w:tr w:rsidR="003045D9" w:rsidRPr="0088141F" w14:paraId="24CB2E7E" w14:textId="77777777" w:rsidTr="00E679EE">
        <w:trPr>
          <w:trHeight w:val="20"/>
        </w:trPr>
        <w:tc>
          <w:tcPr>
            <w:tcW w:w="3828" w:type="dxa"/>
            <w:tcBorders>
              <w:top w:val="nil"/>
              <w:left w:val="nil"/>
              <w:bottom w:val="nil"/>
              <w:right w:val="nil"/>
            </w:tcBorders>
            <w:shd w:val="clear" w:color="auto" w:fill="auto"/>
            <w:noWrap/>
            <w:vAlign w:val="bottom"/>
            <w:hideMark/>
          </w:tcPr>
          <w:p w14:paraId="45A82150"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Permanente</w:t>
            </w:r>
          </w:p>
        </w:tc>
        <w:tc>
          <w:tcPr>
            <w:tcW w:w="1134" w:type="dxa"/>
            <w:tcBorders>
              <w:top w:val="nil"/>
              <w:left w:val="nil"/>
              <w:bottom w:val="nil"/>
              <w:right w:val="nil"/>
            </w:tcBorders>
            <w:shd w:val="clear" w:color="auto" w:fill="auto"/>
            <w:noWrap/>
            <w:vAlign w:val="bottom"/>
            <w:hideMark/>
          </w:tcPr>
          <w:p w14:paraId="5E12D69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57.951</w:t>
            </w:r>
          </w:p>
        </w:tc>
        <w:tc>
          <w:tcPr>
            <w:tcW w:w="889" w:type="dxa"/>
            <w:tcBorders>
              <w:top w:val="nil"/>
              <w:left w:val="nil"/>
              <w:bottom w:val="nil"/>
              <w:right w:val="nil"/>
            </w:tcBorders>
            <w:shd w:val="clear" w:color="auto" w:fill="auto"/>
            <w:noWrap/>
            <w:vAlign w:val="bottom"/>
            <w:hideMark/>
          </w:tcPr>
          <w:p w14:paraId="13BF91F0"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4,2</w:t>
            </w:r>
          </w:p>
        </w:tc>
        <w:tc>
          <w:tcPr>
            <w:tcW w:w="1130" w:type="dxa"/>
            <w:tcBorders>
              <w:top w:val="nil"/>
              <w:left w:val="nil"/>
              <w:bottom w:val="nil"/>
              <w:right w:val="nil"/>
            </w:tcBorders>
            <w:shd w:val="clear" w:color="auto" w:fill="auto"/>
            <w:noWrap/>
            <w:vAlign w:val="bottom"/>
            <w:hideMark/>
          </w:tcPr>
          <w:p w14:paraId="374E5C4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110.178</w:t>
            </w:r>
          </w:p>
        </w:tc>
        <w:tc>
          <w:tcPr>
            <w:tcW w:w="900" w:type="dxa"/>
            <w:tcBorders>
              <w:top w:val="nil"/>
              <w:left w:val="nil"/>
              <w:bottom w:val="nil"/>
              <w:right w:val="nil"/>
            </w:tcBorders>
            <w:shd w:val="clear" w:color="auto" w:fill="auto"/>
            <w:noWrap/>
            <w:vAlign w:val="bottom"/>
            <w:hideMark/>
          </w:tcPr>
          <w:p w14:paraId="54381E6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5,7</w:t>
            </w:r>
          </w:p>
        </w:tc>
        <w:tc>
          <w:tcPr>
            <w:tcW w:w="1214" w:type="dxa"/>
            <w:tcBorders>
              <w:top w:val="nil"/>
              <w:left w:val="nil"/>
              <w:bottom w:val="nil"/>
              <w:right w:val="nil"/>
            </w:tcBorders>
            <w:shd w:val="clear" w:color="auto" w:fill="auto"/>
            <w:noWrap/>
            <w:vAlign w:val="bottom"/>
            <w:hideMark/>
          </w:tcPr>
          <w:p w14:paraId="07F38893"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90,1</w:t>
            </w:r>
          </w:p>
        </w:tc>
      </w:tr>
      <w:tr w:rsidR="003045D9" w:rsidRPr="0088141F" w14:paraId="7A5B2BF1" w14:textId="77777777" w:rsidTr="00E679EE">
        <w:trPr>
          <w:trHeight w:val="20"/>
        </w:trPr>
        <w:tc>
          <w:tcPr>
            <w:tcW w:w="3828" w:type="dxa"/>
            <w:tcBorders>
              <w:top w:val="nil"/>
              <w:left w:val="nil"/>
              <w:bottom w:val="nil"/>
              <w:right w:val="nil"/>
            </w:tcBorders>
            <w:shd w:val="clear" w:color="auto" w:fill="auto"/>
            <w:noWrap/>
            <w:vAlign w:val="bottom"/>
            <w:hideMark/>
          </w:tcPr>
          <w:p w14:paraId="21C36F5E"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Temporário</w:t>
            </w:r>
          </w:p>
        </w:tc>
        <w:tc>
          <w:tcPr>
            <w:tcW w:w="1134" w:type="dxa"/>
            <w:tcBorders>
              <w:top w:val="nil"/>
              <w:left w:val="nil"/>
              <w:bottom w:val="nil"/>
              <w:right w:val="nil"/>
            </w:tcBorders>
            <w:shd w:val="clear" w:color="auto" w:fill="auto"/>
            <w:noWrap/>
            <w:vAlign w:val="bottom"/>
            <w:hideMark/>
          </w:tcPr>
          <w:p w14:paraId="61942996"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34.195</w:t>
            </w:r>
          </w:p>
        </w:tc>
        <w:tc>
          <w:tcPr>
            <w:tcW w:w="889" w:type="dxa"/>
            <w:tcBorders>
              <w:top w:val="nil"/>
              <w:left w:val="nil"/>
              <w:bottom w:val="nil"/>
              <w:right w:val="nil"/>
            </w:tcBorders>
            <w:shd w:val="clear" w:color="auto" w:fill="auto"/>
            <w:noWrap/>
            <w:vAlign w:val="bottom"/>
            <w:hideMark/>
          </w:tcPr>
          <w:p w14:paraId="0C0C416D"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w:t>
            </w:r>
          </w:p>
        </w:tc>
        <w:tc>
          <w:tcPr>
            <w:tcW w:w="1130" w:type="dxa"/>
            <w:tcBorders>
              <w:top w:val="nil"/>
              <w:left w:val="nil"/>
              <w:bottom w:val="nil"/>
              <w:right w:val="nil"/>
            </w:tcBorders>
            <w:shd w:val="clear" w:color="auto" w:fill="auto"/>
            <w:noWrap/>
            <w:vAlign w:val="bottom"/>
            <w:hideMark/>
          </w:tcPr>
          <w:p w14:paraId="4D36B595"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37.139</w:t>
            </w:r>
          </w:p>
        </w:tc>
        <w:tc>
          <w:tcPr>
            <w:tcW w:w="900" w:type="dxa"/>
            <w:tcBorders>
              <w:top w:val="nil"/>
              <w:left w:val="nil"/>
              <w:bottom w:val="nil"/>
              <w:right w:val="nil"/>
            </w:tcBorders>
            <w:shd w:val="clear" w:color="auto" w:fill="auto"/>
            <w:noWrap/>
            <w:vAlign w:val="bottom"/>
            <w:hideMark/>
          </w:tcPr>
          <w:p w14:paraId="46E0FDCE"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2,0</w:t>
            </w:r>
          </w:p>
        </w:tc>
        <w:tc>
          <w:tcPr>
            <w:tcW w:w="1214" w:type="dxa"/>
            <w:tcBorders>
              <w:top w:val="nil"/>
              <w:left w:val="nil"/>
              <w:bottom w:val="nil"/>
              <w:right w:val="nil"/>
            </w:tcBorders>
            <w:shd w:val="clear" w:color="auto" w:fill="auto"/>
            <w:noWrap/>
            <w:vAlign w:val="bottom"/>
            <w:hideMark/>
          </w:tcPr>
          <w:p w14:paraId="4075982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8,6</w:t>
            </w:r>
          </w:p>
        </w:tc>
      </w:tr>
      <w:tr w:rsidR="003045D9" w:rsidRPr="0088141F" w14:paraId="5B4AEFB6" w14:textId="77777777" w:rsidTr="00E679EE">
        <w:trPr>
          <w:trHeight w:val="20"/>
        </w:trPr>
        <w:tc>
          <w:tcPr>
            <w:tcW w:w="3828" w:type="dxa"/>
            <w:tcBorders>
              <w:top w:val="nil"/>
              <w:left w:val="nil"/>
              <w:bottom w:val="nil"/>
              <w:right w:val="nil"/>
            </w:tcBorders>
            <w:shd w:val="clear" w:color="auto" w:fill="auto"/>
            <w:noWrap/>
            <w:vAlign w:val="bottom"/>
            <w:hideMark/>
          </w:tcPr>
          <w:p w14:paraId="16B1AE98"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Parceiros</w:t>
            </w:r>
          </w:p>
        </w:tc>
        <w:tc>
          <w:tcPr>
            <w:tcW w:w="1134" w:type="dxa"/>
            <w:tcBorders>
              <w:top w:val="nil"/>
              <w:left w:val="nil"/>
              <w:bottom w:val="nil"/>
              <w:right w:val="nil"/>
            </w:tcBorders>
            <w:shd w:val="clear" w:color="auto" w:fill="auto"/>
            <w:noWrap/>
            <w:vAlign w:val="bottom"/>
            <w:hideMark/>
          </w:tcPr>
          <w:p w14:paraId="3983C26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294</w:t>
            </w:r>
          </w:p>
        </w:tc>
        <w:tc>
          <w:tcPr>
            <w:tcW w:w="889" w:type="dxa"/>
            <w:tcBorders>
              <w:top w:val="nil"/>
              <w:left w:val="nil"/>
              <w:bottom w:val="nil"/>
              <w:right w:val="nil"/>
            </w:tcBorders>
            <w:shd w:val="clear" w:color="auto" w:fill="auto"/>
            <w:noWrap/>
            <w:vAlign w:val="bottom"/>
            <w:hideMark/>
          </w:tcPr>
          <w:p w14:paraId="0EC4CFD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0,4</w:t>
            </w:r>
          </w:p>
        </w:tc>
        <w:tc>
          <w:tcPr>
            <w:tcW w:w="1130" w:type="dxa"/>
            <w:tcBorders>
              <w:top w:val="nil"/>
              <w:left w:val="nil"/>
              <w:bottom w:val="nil"/>
              <w:right w:val="nil"/>
            </w:tcBorders>
            <w:shd w:val="clear" w:color="auto" w:fill="auto"/>
            <w:noWrap/>
            <w:vAlign w:val="bottom"/>
            <w:hideMark/>
          </w:tcPr>
          <w:p w14:paraId="2F6550D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4.133</w:t>
            </w:r>
          </w:p>
        </w:tc>
        <w:tc>
          <w:tcPr>
            <w:tcW w:w="900" w:type="dxa"/>
            <w:tcBorders>
              <w:top w:val="nil"/>
              <w:left w:val="nil"/>
              <w:bottom w:val="nil"/>
              <w:right w:val="nil"/>
            </w:tcBorders>
            <w:shd w:val="clear" w:color="auto" w:fill="auto"/>
            <w:noWrap/>
            <w:vAlign w:val="bottom"/>
            <w:hideMark/>
          </w:tcPr>
          <w:p w14:paraId="5CDAAEEE"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2,2</w:t>
            </w:r>
          </w:p>
        </w:tc>
        <w:tc>
          <w:tcPr>
            <w:tcW w:w="1214" w:type="dxa"/>
            <w:tcBorders>
              <w:top w:val="nil"/>
              <w:left w:val="nil"/>
              <w:bottom w:val="nil"/>
              <w:right w:val="nil"/>
            </w:tcBorders>
            <w:shd w:val="clear" w:color="auto" w:fill="auto"/>
            <w:noWrap/>
            <w:vAlign w:val="bottom"/>
            <w:hideMark/>
          </w:tcPr>
          <w:p w14:paraId="4C75B91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p>
        </w:tc>
      </w:tr>
      <w:tr w:rsidR="003045D9" w:rsidRPr="0088141F" w14:paraId="6B3C8A15"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64DB0E14"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 Total/Pessoal Ocupado</w:t>
            </w:r>
          </w:p>
        </w:tc>
        <w:tc>
          <w:tcPr>
            <w:tcW w:w="1134" w:type="dxa"/>
            <w:tcBorders>
              <w:top w:val="nil"/>
              <w:left w:val="nil"/>
              <w:bottom w:val="single" w:sz="4" w:space="0" w:color="auto"/>
              <w:right w:val="nil"/>
            </w:tcBorders>
            <w:shd w:val="clear" w:color="auto" w:fill="auto"/>
            <w:noWrap/>
            <w:vAlign w:val="bottom"/>
            <w:hideMark/>
          </w:tcPr>
          <w:p w14:paraId="42B803D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521,7</w:t>
            </w:r>
          </w:p>
        </w:tc>
        <w:tc>
          <w:tcPr>
            <w:tcW w:w="889" w:type="dxa"/>
            <w:tcBorders>
              <w:top w:val="nil"/>
              <w:left w:val="nil"/>
              <w:bottom w:val="single" w:sz="4" w:space="0" w:color="auto"/>
              <w:right w:val="nil"/>
            </w:tcBorders>
            <w:shd w:val="clear" w:color="auto" w:fill="auto"/>
            <w:noWrap/>
            <w:vAlign w:val="bottom"/>
            <w:hideMark/>
          </w:tcPr>
          <w:p w14:paraId="2878ECA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bottom w:val="single" w:sz="4" w:space="0" w:color="auto"/>
              <w:right w:val="nil"/>
            </w:tcBorders>
            <w:shd w:val="clear" w:color="auto" w:fill="auto"/>
            <w:noWrap/>
            <w:vAlign w:val="bottom"/>
            <w:hideMark/>
          </w:tcPr>
          <w:p w14:paraId="421BCBC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362,6</w:t>
            </w:r>
          </w:p>
        </w:tc>
        <w:tc>
          <w:tcPr>
            <w:tcW w:w="900" w:type="dxa"/>
            <w:tcBorders>
              <w:top w:val="nil"/>
              <w:left w:val="nil"/>
              <w:bottom w:val="single" w:sz="4" w:space="0" w:color="auto"/>
              <w:right w:val="nil"/>
            </w:tcBorders>
            <w:shd w:val="clear" w:color="auto" w:fill="auto"/>
            <w:noWrap/>
            <w:vAlign w:val="bottom"/>
            <w:hideMark/>
          </w:tcPr>
          <w:p w14:paraId="3F65C74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bottom w:val="single" w:sz="4" w:space="0" w:color="auto"/>
              <w:right w:val="nil"/>
            </w:tcBorders>
            <w:shd w:val="clear" w:color="auto" w:fill="auto"/>
            <w:noWrap/>
            <w:vAlign w:val="bottom"/>
            <w:hideMark/>
          </w:tcPr>
          <w:p w14:paraId="3E9B69F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-30,5</w:t>
            </w:r>
          </w:p>
        </w:tc>
      </w:tr>
      <w:tr w:rsidR="003045D9" w:rsidRPr="0088141F" w14:paraId="3B12CAD9"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0C8A3CAC"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Estabelecimentos </w:t>
            </w:r>
            <w:r w:rsidR="003045D9" w:rsidRPr="0088141F">
              <w:rPr>
                <w:rFonts w:ascii="Times New Roman" w:eastAsia="Times New Roman" w:hAnsi="Times New Roman" w:cs="Times New Roman"/>
                <w:sz w:val="20"/>
                <w:szCs w:val="20"/>
              </w:rPr>
              <w:t>Adubação</w:t>
            </w:r>
          </w:p>
        </w:tc>
        <w:tc>
          <w:tcPr>
            <w:tcW w:w="1134" w:type="dxa"/>
            <w:tcBorders>
              <w:top w:val="single" w:sz="4" w:space="0" w:color="auto"/>
              <w:left w:val="nil"/>
              <w:bottom w:val="nil"/>
              <w:right w:val="nil"/>
            </w:tcBorders>
            <w:shd w:val="clear" w:color="auto" w:fill="auto"/>
            <w:noWrap/>
            <w:vAlign w:val="bottom"/>
            <w:hideMark/>
          </w:tcPr>
          <w:p w14:paraId="2E463B79"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100.812</w:t>
            </w:r>
          </w:p>
        </w:tc>
        <w:tc>
          <w:tcPr>
            <w:tcW w:w="889" w:type="dxa"/>
            <w:tcBorders>
              <w:top w:val="single" w:sz="4" w:space="0" w:color="auto"/>
              <w:left w:val="nil"/>
              <w:bottom w:val="nil"/>
              <w:right w:val="nil"/>
            </w:tcBorders>
            <w:shd w:val="clear" w:color="auto" w:fill="auto"/>
            <w:noWrap/>
            <w:vAlign w:val="bottom"/>
            <w:hideMark/>
          </w:tcPr>
          <w:p w14:paraId="57645225"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0" w:type="dxa"/>
            <w:tcBorders>
              <w:top w:val="single" w:sz="4" w:space="0" w:color="auto"/>
              <w:left w:val="nil"/>
              <w:bottom w:val="nil"/>
              <w:right w:val="nil"/>
            </w:tcBorders>
            <w:shd w:val="clear" w:color="auto" w:fill="auto"/>
            <w:noWrap/>
            <w:vAlign w:val="bottom"/>
            <w:hideMark/>
          </w:tcPr>
          <w:p w14:paraId="3EB03054"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118,522</w:t>
            </w:r>
          </w:p>
        </w:tc>
        <w:tc>
          <w:tcPr>
            <w:tcW w:w="900" w:type="dxa"/>
            <w:tcBorders>
              <w:top w:val="single" w:sz="4" w:space="0" w:color="auto"/>
              <w:left w:val="nil"/>
              <w:bottom w:val="nil"/>
              <w:right w:val="nil"/>
            </w:tcBorders>
            <w:shd w:val="clear" w:color="auto" w:fill="auto"/>
            <w:noWrap/>
            <w:vAlign w:val="bottom"/>
            <w:hideMark/>
          </w:tcPr>
          <w:p w14:paraId="083AED05"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14" w:type="dxa"/>
            <w:tcBorders>
              <w:top w:val="single" w:sz="4" w:space="0" w:color="auto"/>
              <w:left w:val="nil"/>
              <w:bottom w:val="nil"/>
              <w:right w:val="nil"/>
            </w:tcBorders>
            <w:shd w:val="clear" w:color="auto" w:fill="auto"/>
            <w:noWrap/>
            <w:vAlign w:val="bottom"/>
            <w:hideMark/>
          </w:tcPr>
          <w:p w14:paraId="57A39EE0"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045D9" w:rsidRPr="0088141F" w14:paraId="7F56E573" w14:textId="77777777" w:rsidTr="00E679EE">
        <w:trPr>
          <w:trHeight w:val="20"/>
        </w:trPr>
        <w:tc>
          <w:tcPr>
            <w:tcW w:w="3828" w:type="dxa"/>
            <w:tcBorders>
              <w:top w:val="nil"/>
              <w:left w:val="nil"/>
              <w:bottom w:val="nil"/>
              <w:right w:val="nil"/>
            </w:tcBorders>
            <w:shd w:val="clear" w:color="auto" w:fill="auto"/>
            <w:noWrap/>
            <w:vAlign w:val="bottom"/>
            <w:hideMark/>
          </w:tcPr>
          <w:p w14:paraId="5AFCA7A5"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045D9" w:rsidRPr="0088141F">
              <w:rPr>
                <w:rFonts w:ascii="Times New Roman" w:eastAsia="Times New Roman" w:hAnsi="Times New Roman" w:cs="Times New Roman"/>
                <w:sz w:val="20"/>
                <w:szCs w:val="20"/>
              </w:rPr>
              <w:t>Fez</w:t>
            </w:r>
          </w:p>
        </w:tc>
        <w:tc>
          <w:tcPr>
            <w:tcW w:w="1134" w:type="dxa"/>
            <w:tcBorders>
              <w:top w:val="nil"/>
              <w:left w:val="nil"/>
              <w:bottom w:val="nil"/>
              <w:right w:val="nil"/>
            </w:tcBorders>
            <w:shd w:val="clear" w:color="auto" w:fill="auto"/>
            <w:noWrap/>
            <w:vAlign w:val="bottom"/>
            <w:hideMark/>
          </w:tcPr>
          <w:p w14:paraId="29B8435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3.505</w:t>
            </w:r>
          </w:p>
        </w:tc>
        <w:tc>
          <w:tcPr>
            <w:tcW w:w="889" w:type="dxa"/>
            <w:tcBorders>
              <w:top w:val="nil"/>
              <w:left w:val="nil"/>
              <w:bottom w:val="nil"/>
              <w:right w:val="nil"/>
            </w:tcBorders>
            <w:shd w:val="clear" w:color="auto" w:fill="auto"/>
            <w:noWrap/>
            <w:vAlign w:val="bottom"/>
            <w:hideMark/>
          </w:tcPr>
          <w:p w14:paraId="1CFCA87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2,4</w:t>
            </w:r>
          </w:p>
        </w:tc>
        <w:tc>
          <w:tcPr>
            <w:tcW w:w="1130" w:type="dxa"/>
            <w:tcBorders>
              <w:top w:val="nil"/>
              <w:left w:val="nil"/>
              <w:bottom w:val="nil"/>
              <w:right w:val="nil"/>
            </w:tcBorders>
            <w:shd w:val="clear" w:color="auto" w:fill="auto"/>
            <w:noWrap/>
            <w:vAlign w:val="bottom"/>
            <w:hideMark/>
          </w:tcPr>
          <w:p w14:paraId="23D6BB3D"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25.685</w:t>
            </w:r>
          </w:p>
        </w:tc>
        <w:tc>
          <w:tcPr>
            <w:tcW w:w="900" w:type="dxa"/>
            <w:tcBorders>
              <w:top w:val="nil"/>
              <w:left w:val="nil"/>
              <w:bottom w:val="nil"/>
              <w:right w:val="nil"/>
            </w:tcBorders>
            <w:shd w:val="clear" w:color="auto" w:fill="auto"/>
            <w:noWrap/>
            <w:vAlign w:val="bottom"/>
            <w:hideMark/>
          </w:tcPr>
          <w:p w14:paraId="7FD9D1D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w:t>
            </w:r>
          </w:p>
        </w:tc>
        <w:tc>
          <w:tcPr>
            <w:tcW w:w="1214" w:type="dxa"/>
            <w:tcBorders>
              <w:top w:val="nil"/>
              <w:left w:val="nil"/>
              <w:bottom w:val="nil"/>
              <w:right w:val="nil"/>
            </w:tcBorders>
            <w:shd w:val="clear" w:color="auto" w:fill="auto"/>
            <w:noWrap/>
            <w:vAlign w:val="bottom"/>
            <w:hideMark/>
          </w:tcPr>
          <w:p w14:paraId="6255597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632,8</w:t>
            </w:r>
          </w:p>
        </w:tc>
      </w:tr>
      <w:tr w:rsidR="003045D9" w:rsidRPr="0088141F" w14:paraId="401B79D6"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43AD7333"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045D9" w:rsidRPr="0088141F">
              <w:rPr>
                <w:rFonts w:ascii="Times New Roman" w:eastAsia="Times New Roman" w:hAnsi="Times New Roman" w:cs="Times New Roman"/>
                <w:sz w:val="20"/>
                <w:szCs w:val="20"/>
              </w:rPr>
              <w:t>Não Fez</w:t>
            </w:r>
          </w:p>
        </w:tc>
        <w:tc>
          <w:tcPr>
            <w:tcW w:w="1134" w:type="dxa"/>
            <w:tcBorders>
              <w:top w:val="nil"/>
              <w:left w:val="nil"/>
              <w:bottom w:val="single" w:sz="4" w:space="0" w:color="auto"/>
              <w:right w:val="nil"/>
            </w:tcBorders>
            <w:shd w:val="clear" w:color="auto" w:fill="auto"/>
            <w:noWrap/>
            <w:vAlign w:val="bottom"/>
            <w:hideMark/>
          </w:tcPr>
          <w:p w14:paraId="70294045"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97.307</w:t>
            </w:r>
          </w:p>
        </w:tc>
        <w:tc>
          <w:tcPr>
            <w:tcW w:w="889" w:type="dxa"/>
            <w:tcBorders>
              <w:top w:val="nil"/>
              <w:left w:val="nil"/>
              <w:bottom w:val="single" w:sz="4" w:space="0" w:color="auto"/>
              <w:right w:val="nil"/>
            </w:tcBorders>
            <w:shd w:val="clear" w:color="auto" w:fill="auto"/>
            <w:noWrap/>
            <w:vAlign w:val="bottom"/>
            <w:hideMark/>
          </w:tcPr>
          <w:p w14:paraId="7993819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2,9</w:t>
            </w:r>
          </w:p>
        </w:tc>
        <w:tc>
          <w:tcPr>
            <w:tcW w:w="1130" w:type="dxa"/>
            <w:tcBorders>
              <w:top w:val="nil"/>
              <w:left w:val="nil"/>
              <w:bottom w:val="single" w:sz="4" w:space="0" w:color="auto"/>
              <w:right w:val="nil"/>
            </w:tcBorders>
            <w:shd w:val="clear" w:color="auto" w:fill="auto"/>
            <w:noWrap/>
            <w:vAlign w:val="bottom"/>
            <w:hideMark/>
          </w:tcPr>
          <w:p w14:paraId="2AE0494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92.837</w:t>
            </w:r>
          </w:p>
        </w:tc>
        <w:tc>
          <w:tcPr>
            <w:tcW w:w="900" w:type="dxa"/>
            <w:tcBorders>
              <w:top w:val="nil"/>
              <w:left w:val="nil"/>
              <w:bottom w:val="single" w:sz="4" w:space="0" w:color="auto"/>
              <w:right w:val="nil"/>
            </w:tcBorders>
            <w:shd w:val="clear" w:color="auto" w:fill="auto"/>
            <w:noWrap/>
            <w:vAlign w:val="bottom"/>
            <w:hideMark/>
          </w:tcPr>
          <w:p w14:paraId="79677876"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3,2</w:t>
            </w:r>
          </w:p>
        </w:tc>
        <w:tc>
          <w:tcPr>
            <w:tcW w:w="1214" w:type="dxa"/>
            <w:tcBorders>
              <w:top w:val="nil"/>
              <w:left w:val="nil"/>
              <w:bottom w:val="single" w:sz="4" w:space="0" w:color="auto"/>
              <w:right w:val="nil"/>
            </w:tcBorders>
            <w:shd w:val="clear" w:color="auto" w:fill="auto"/>
            <w:noWrap/>
            <w:vAlign w:val="bottom"/>
            <w:hideMark/>
          </w:tcPr>
          <w:p w14:paraId="1185410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-4,6</w:t>
            </w:r>
          </w:p>
        </w:tc>
      </w:tr>
      <w:tr w:rsidR="003045D9" w:rsidRPr="0088141F" w14:paraId="31740248"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791DE29A" w14:textId="77777777" w:rsidR="003045D9" w:rsidRPr="0088141F" w:rsidRDefault="00E679EE" w:rsidP="00E679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Estabelecimentos </w:t>
            </w:r>
            <w:r w:rsidR="003045D9" w:rsidRPr="0088141F">
              <w:rPr>
                <w:rFonts w:ascii="Times New Roman" w:eastAsia="Times New Roman" w:hAnsi="Times New Roman" w:cs="Times New Roman"/>
                <w:sz w:val="20"/>
                <w:szCs w:val="20"/>
              </w:rPr>
              <w:t>Agrotóxicos</w:t>
            </w:r>
          </w:p>
        </w:tc>
        <w:tc>
          <w:tcPr>
            <w:tcW w:w="1134" w:type="dxa"/>
            <w:tcBorders>
              <w:top w:val="single" w:sz="4" w:space="0" w:color="auto"/>
              <w:left w:val="nil"/>
              <w:bottom w:val="nil"/>
              <w:right w:val="nil"/>
            </w:tcBorders>
            <w:shd w:val="clear" w:color="auto" w:fill="auto"/>
            <w:noWrap/>
            <w:vAlign w:val="bottom"/>
            <w:hideMark/>
          </w:tcPr>
          <w:p w14:paraId="0A8B2250"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112.987</w:t>
            </w:r>
          </w:p>
        </w:tc>
        <w:tc>
          <w:tcPr>
            <w:tcW w:w="889" w:type="dxa"/>
            <w:tcBorders>
              <w:top w:val="single" w:sz="4" w:space="0" w:color="auto"/>
              <w:left w:val="nil"/>
              <w:bottom w:val="nil"/>
              <w:right w:val="nil"/>
            </w:tcBorders>
            <w:shd w:val="clear" w:color="auto" w:fill="auto"/>
            <w:noWrap/>
            <w:vAlign w:val="bottom"/>
            <w:hideMark/>
          </w:tcPr>
          <w:p w14:paraId="16B00DFD"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0" w:type="dxa"/>
            <w:tcBorders>
              <w:top w:val="single" w:sz="4" w:space="0" w:color="auto"/>
              <w:left w:val="nil"/>
              <w:bottom w:val="nil"/>
              <w:right w:val="nil"/>
            </w:tcBorders>
            <w:shd w:val="clear" w:color="auto" w:fill="auto"/>
            <w:noWrap/>
            <w:vAlign w:val="bottom"/>
            <w:hideMark/>
          </w:tcPr>
          <w:p w14:paraId="7B155BDA"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118.679</w:t>
            </w:r>
          </w:p>
        </w:tc>
        <w:tc>
          <w:tcPr>
            <w:tcW w:w="900" w:type="dxa"/>
            <w:tcBorders>
              <w:top w:val="single" w:sz="4" w:space="0" w:color="auto"/>
              <w:left w:val="nil"/>
              <w:bottom w:val="nil"/>
              <w:right w:val="nil"/>
            </w:tcBorders>
            <w:shd w:val="clear" w:color="auto" w:fill="auto"/>
            <w:noWrap/>
            <w:vAlign w:val="bottom"/>
            <w:hideMark/>
          </w:tcPr>
          <w:p w14:paraId="7D71BC31"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14" w:type="dxa"/>
            <w:tcBorders>
              <w:top w:val="single" w:sz="4" w:space="0" w:color="auto"/>
              <w:left w:val="nil"/>
              <w:bottom w:val="nil"/>
              <w:right w:val="nil"/>
            </w:tcBorders>
            <w:shd w:val="clear" w:color="auto" w:fill="auto"/>
            <w:noWrap/>
            <w:vAlign w:val="bottom"/>
            <w:hideMark/>
          </w:tcPr>
          <w:p w14:paraId="0F4DA9B3" w14:textId="77777777" w:rsidR="003045D9" w:rsidRPr="0088141F" w:rsidRDefault="00E679EE" w:rsidP="003045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045D9" w:rsidRPr="0088141F" w14:paraId="28831081" w14:textId="77777777" w:rsidTr="00E679EE">
        <w:trPr>
          <w:trHeight w:val="20"/>
        </w:trPr>
        <w:tc>
          <w:tcPr>
            <w:tcW w:w="3828" w:type="dxa"/>
            <w:tcBorders>
              <w:top w:val="nil"/>
              <w:left w:val="nil"/>
              <w:bottom w:val="nil"/>
              <w:right w:val="nil"/>
            </w:tcBorders>
            <w:shd w:val="clear" w:color="auto" w:fill="auto"/>
            <w:noWrap/>
            <w:vAlign w:val="bottom"/>
            <w:hideMark/>
          </w:tcPr>
          <w:p w14:paraId="4A885E38"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045D9" w:rsidRPr="0088141F">
              <w:rPr>
                <w:rFonts w:ascii="Times New Roman" w:eastAsia="Times New Roman" w:hAnsi="Times New Roman" w:cs="Times New Roman"/>
                <w:sz w:val="20"/>
                <w:szCs w:val="20"/>
              </w:rPr>
              <w:t>Utilizou</w:t>
            </w:r>
          </w:p>
        </w:tc>
        <w:tc>
          <w:tcPr>
            <w:tcW w:w="1134" w:type="dxa"/>
            <w:tcBorders>
              <w:top w:val="nil"/>
              <w:left w:val="nil"/>
              <w:bottom w:val="nil"/>
              <w:right w:val="nil"/>
            </w:tcBorders>
            <w:shd w:val="clear" w:color="auto" w:fill="auto"/>
            <w:noWrap/>
            <w:vAlign w:val="bottom"/>
            <w:hideMark/>
          </w:tcPr>
          <w:p w14:paraId="6C9370E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19.436</w:t>
            </w:r>
          </w:p>
        </w:tc>
        <w:tc>
          <w:tcPr>
            <w:tcW w:w="889" w:type="dxa"/>
            <w:tcBorders>
              <w:top w:val="nil"/>
              <w:left w:val="nil"/>
              <w:bottom w:val="nil"/>
              <w:right w:val="nil"/>
            </w:tcBorders>
            <w:shd w:val="clear" w:color="auto" w:fill="auto"/>
            <w:noWrap/>
            <w:vAlign w:val="bottom"/>
            <w:hideMark/>
          </w:tcPr>
          <w:p w14:paraId="6F5FDAC2"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1,4</w:t>
            </w:r>
          </w:p>
        </w:tc>
        <w:tc>
          <w:tcPr>
            <w:tcW w:w="1130" w:type="dxa"/>
            <w:tcBorders>
              <w:top w:val="nil"/>
              <w:left w:val="nil"/>
              <w:bottom w:val="nil"/>
              <w:right w:val="nil"/>
            </w:tcBorders>
            <w:shd w:val="clear" w:color="auto" w:fill="auto"/>
            <w:noWrap/>
            <w:vAlign w:val="bottom"/>
            <w:hideMark/>
          </w:tcPr>
          <w:p w14:paraId="4B583A30"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48.090</w:t>
            </w:r>
          </w:p>
        </w:tc>
        <w:tc>
          <w:tcPr>
            <w:tcW w:w="900" w:type="dxa"/>
            <w:tcBorders>
              <w:top w:val="nil"/>
              <w:left w:val="nil"/>
              <w:bottom w:val="nil"/>
              <w:right w:val="nil"/>
            </w:tcBorders>
            <w:shd w:val="clear" w:color="auto" w:fill="auto"/>
            <w:noWrap/>
            <w:vAlign w:val="bottom"/>
            <w:hideMark/>
          </w:tcPr>
          <w:p w14:paraId="12BD2B1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2,9</w:t>
            </w:r>
          </w:p>
        </w:tc>
        <w:tc>
          <w:tcPr>
            <w:tcW w:w="1214" w:type="dxa"/>
            <w:tcBorders>
              <w:top w:val="nil"/>
              <w:left w:val="nil"/>
              <w:bottom w:val="nil"/>
              <w:right w:val="nil"/>
            </w:tcBorders>
            <w:shd w:val="clear" w:color="auto" w:fill="auto"/>
            <w:noWrap/>
            <w:vAlign w:val="bottom"/>
            <w:hideMark/>
          </w:tcPr>
          <w:p w14:paraId="7E29E6A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147,4</w:t>
            </w:r>
          </w:p>
        </w:tc>
      </w:tr>
      <w:tr w:rsidR="003045D9" w:rsidRPr="0088141F" w14:paraId="41C433A0" w14:textId="77777777" w:rsidTr="00E679EE">
        <w:trPr>
          <w:trHeight w:val="20"/>
        </w:trPr>
        <w:tc>
          <w:tcPr>
            <w:tcW w:w="3828" w:type="dxa"/>
            <w:tcBorders>
              <w:top w:val="nil"/>
              <w:left w:val="nil"/>
              <w:bottom w:val="nil"/>
              <w:right w:val="nil"/>
            </w:tcBorders>
            <w:shd w:val="clear" w:color="auto" w:fill="auto"/>
            <w:noWrap/>
            <w:vAlign w:val="bottom"/>
            <w:hideMark/>
          </w:tcPr>
          <w:p w14:paraId="471CEB5F"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88141F">
              <w:rPr>
                <w:rFonts w:ascii="Times New Roman" w:eastAsia="Times New Roman" w:hAnsi="Times New Roman" w:cs="Times New Roman"/>
                <w:sz w:val="20"/>
                <w:szCs w:val="20"/>
              </w:rPr>
              <w:t>Não</w:t>
            </w:r>
            <w:r w:rsidR="003045D9" w:rsidRPr="0088141F">
              <w:rPr>
                <w:rFonts w:ascii="Times New Roman" w:eastAsia="Times New Roman" w:hAnsi="Times New Roman" w:cs="Times New Roman"/>
                <w:sz w:val="20"/>
                <w:szCs w:val="20"/>
              </w:rPr>
              <w:t xml:space="preserve"> Utilizou</w:t>
            </w:r>
          </w:p>
        </w:tc>
        <w:tc>
          <w:tcPr>
            <w:tcW w:w="1134" w:type="dxa"/>
            <w:tcBorders>
              <w:top w:val="nil"/>
              <w:left w:val="nil"/>
              <w:bottom w:val="nil"/>
              <w:right w:val="nil"/>
            </w:tcBorders>
            <w:shd w:val="clear" w:color="auto" w:fill="auto"/>
            <w:noWrap/>
            <w:vAlign w:val="bottom"/>
            <w:hideMark/>
          </w:tcPr>
          <w:p w14:paraId="3B7E726E"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89.955</w:t>
            </w:r>
          </w:p>
        </w:tc>
        <w:tc>
          <w:tcPr>
            <w:tcW w:w="889" w:type="dxa"/>
            <w:tcBorders>
              <w:top w:val="nil"/>
              <w:left w:val="nil"/>
              <w:bottom w:val="nil"/>
              <w:right w:val="nil"/>
            </w:tcBorders>
            <w:shd w:val="clear" w:color="auto" w:fill="auto"/>
            <w:noWrap/>
            <w:vAlign w:val="bottom"/>
            <w:hideMark/>
          </w:tcPr>
          <w:p w14:paraId="7CF8B468"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2,5</w:t>
            </w:r>
          </w:p>
        </w:tc>
        <w:tc>
          <w:tcPr>
            <w:tcW w:w="1130" w:type="dxa"/>
            <w:tcBorders>
              <w:top w:val="nil"/>
              <w:left w:val="nil"/>
              <w:bottom w:val="nil"/>
              <w:right w:val="nil"/>
            </w:tcBorders>
            <w:shd w:val="clear" w:color="auto" w:fill="auto"/>
            <w:noWrap/>
            <w:vAlign w:val="bottom"/>
            <w:hideMark/>
          </w:tcPr>
          <w:p w14:paraId="6C2E00CD"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70.432</w:t>
            </w:r>
          </w:p>
        </w:tc>
        <w:tc>
          <w:tcPr>
            <w:tcW w:w="900" w:type="dxa"/>
            <w:tcBorders>
              <w:top w:val="nil"/>
              <w:left w:val="nil"/>
              <w:bottom w:val="nil"/>
              <w:right w:val="nil"/>
            </w:tcBorders>
            <w:shd w:val="clear" w:color="auto" w:fill="auto"/>
            <w:noWrap/>
            <w:vAlign w:val="bottom"/>
            <w:hideMark/>
          </w:tcPr>
          <w:p w14:paraId="3BE19E9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2,1</w:t>
            </w:r>
          </w:p>
        </w:tc>
        <w:tc>
          <w:tcPr>
            <w:tcW w:w="1214" w:type="dxa"/>
            <w:tcBorders>
              <w:top w:val="nil"/>
              <w:left w:val="nil"/>
              <w:bottom w:val="nil"/>
              <w:right w:val="nil"/>
            </w:tcBorders>
            <w:shd w:val="clear" w:color="auto" w:fill="auto"/>
            <w:noWrap/>
            <w:vAlign w:val="bottom"/>
            <w:hideMark/>
          </w:tcPr>
          <w:p w14:paraId="598E439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-21,7</w:t>
            </w:r>
          </w:p>
        </w:tc>
      </w:tr>
      <w:tr w:rsidR="003045D9" w:rsidRPr="0088141F" w14:paraId="440A79B5"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1EFD624F"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045D9" w:rsidRPr="0088141F">
              <w:rPr>
                <w:rFonts w:ascii="Times New Roman" w:eastAsia="Times New Roman" w:hAnsi="Times New Roman" w:cs="Times New Roman"/>
                <w:sz w:val="20"/>
                <w:szCs w:val="20"/>
              </w:rPr>
              <w:t xml:space="preserve">Utiliza, mas </w:t>
            </w:r>
            <w:r w:rsidRPr="0088141F">
              <w:rPr>
                <w:rFonts w:ascii="Times New Roman" w:eastAsia="Times New Roman" w:hAnsi="Times New Roman" w:cs="Times New Roman"/>
                <w:sz w:val="20"/>
                <w:szCs w:val="20"/>
              </w:rPr>
              <w:t>não</w:t>
            </w:r>
            <w:r w:rsidR="003045D9" w:rsidRPr="0088141F">
              <w:rPr>
                <w:rFonts w:ascii="Times New Roman" w:eastAsia="Times New Roman" w:hAnsi="Times New Roman" w:cs="Times New Roman"/>
                <w:sz w:val="20"/>
                <w:szCs w:val="20"/>
              </w:rPr>
              <w:t xml:space="preserve"> precisou</w:t>
            </w:r>
            <w:r>
              <w:rPr>
                <w:rFonts w:ascii="Times New Roman" w:eastAsia="Times New Roman" w:hAnsi="Times New Roman" w:cs="Times New Roman"/>
                <w:sz w:val="20"/>
                <w:szCs w:val="20"/>
              </w:rPr>
              <w:t xml:space="preserve"> (a)</w:t>
            </w:r>
          </w:p>
        </w:tc>
        <w:tc>
          <w:tcPr>
            <w:tcW w:w="1134" w:type="dxa"/>
            <w:tcBorders>
              <w:top w:val="nil"/>
              <w:left w:val="nil"/>
              <w:bottom w:val="single" w:sz="4" w:space="0" w:color="auto"/>
              <w:right w:val="nil"/>
            </w:tcBorders>
            <w:shd w:val="clear" w:color="auto" w:fill="auto"/>
            <w:noWrap/>
            <w:vAlign w:val="bottom"/>
            <w:hideMark/>
          </w:tcPr>
          <w:p w14:paraId="79B13AB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3.596</w:t>
            </w:r>
          </w:p>
        </w:tc>
        <w:tc>
          <w:tcPr>
            <w:tcW w:w="889" w:type="dxa"/>
            <w:tcBorders>
              <w:top w:val="nil"/>
              <w:left w:val="nil"/>
              <w:bottom w:val="single" w:sz="4" w:space="0" w:color="auto"/>
              <w:right w:val="nil"/>
            </w:tcBorders>
            <w:shd w:val="clear" w:color="auto" w:fill="auto"/>
            <w:noWrap/>
            <w:vAlign w:val="bottom"/>
            <w:hideMark/>
          </w:tcPr>
          <w:p w14:paraId="1F26DD18"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2,3</w:t>
            </w:r>
          </w:p>
        </w:tc>
        <w:tc>
          <w:tcPr>
            <w:tcW w:w="1130" w:type="dxa"/>
            <w:tcBorders>
              <w:top w:val="nil"/>
              <w:left w:val="nil"/>
              <w:bottom w:val="single" w:sz="4" w:space="0" w:color="auto"/>
              <w:right w:val="nil"/>
            </w:tcBorders>
            <w:shd w:val="clear" w:color="auto" w:fill="auto"/>
            <w:noWrap/>
            <w:vAlign w:val="bottom"/>
            <w:hideMark/>
          </w:tcPr>
          <w:p w14:paraId="30FCAE5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5.731</w:t>
            </w:r>
          </w:p>
        </w:tc>
        <w:tc>
          <w:tcPr>
            <w:tcW w:w="900" w:type="dxa"/>
            <w:tcBorders>
              <w:top w:val="nil"/>
              <w:left w:val="nil"/>
              <w:bottom w:val="single" w:sz="4" w:space="0" w:color="auto"/>
              <w:right w:val="nil"/>
            </w:tcBorders>
            <w:shd w:val="clear" w:color="auto" w:fill="auto"/>
            <w:noWrap/>
            <w:vAlign w:val="bottom"/>
            <w:hideMark/>
          </w:tcPr>
          <w:p w14:paraId="68BA456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4,3</w:t>
            </w:r>
          </w:p>
        </w:tc>
        <w:tc>
          <w:tcPr>
            <w:tcW w:w="1214" w:type="dxa"/>
            <w:tcBorders>
              <w:top w:val="nil"/>
              <w:left w:val="nil"/>
              <w:bottom w:val="single" w:sz="4" w:space="0" w:color="auto"/>
              <w:right w:val="nil"/>
            </w:tcBorders>
            <w:shd w:val="clear" w:color="auto" w:fill="auto"/>
            <w:noWrap/>
            <w:vAlign w:val="bottom"/>
            <w:hideMark/>
          </w:tcPr>
          <w:p w14:paraId="4D049665"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59,4</w:t>
            </w:r>
          </w:p>
        </w:tc>
      </w:tr>
      <w:tr w:rsidR="00516EE1" w:rsidRPr="0088141F" w14:paraId="7CF2A446"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60EBE680" w14:textId="77777777" w:rsidR="00516EE1" w:rsidRPr="0088141F" w:rsidRDefault="00516EE1" w:rsidP="00E679EE">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N</w:t>
            </w:r>
            <w:r w:rsidR="00E679EE">
              <w:rPr>
                <w:rFonts w:ascii="Times New Roman" w:eastAsia="Times New Roman" w:hAnsi="Times New Roman" w:cs="Times New Roman"/>
                <w:sz w:val="20"/>
                <w:szCs w:val="20"/>
              </w:rPr>
              <w:t>°</w:t>
            </w:r>
            <w:r w:rsidRPr="0088141F">
              <w:rPr>
                <w:rFonts w:ascii="Times New Roman" w:eastAsia="Times New Roman" w:hAnsi="Times New Roman" w:cs="Times New Roman"/>
                <w:sz w:val="20"/>
                <w:szCs w:val="20"/>
              </w:rPr>
              <w:t>. Estab</w:t>
            </w:r>
            <w:r w:rsidR="00E679EE">
              <w:rPr>
                <w:rFonts w:ascii="Times New Roman" w:eastAsia="Times New Roman" w:hAnsi="Times New Roman" w:cs="Times New Roman"/>
                <w:sz w:val="20"/>
                <w:szCs w:val="20"/>
              </w:rPr>
              <w:t>elecimentos</w:t>
            </w:r>
            <w:r w:rsidRPr="0088141F">
              <w:rPr>
                <w:rFonts w:ascii="Times New Roman" w:eastAsia="Times New Roman" w:hAnsi="Times New Roman" w:cs="Times New Roman"/>
                <w:sz w:val="20"/>
                <w:szCs w:val="20"/>
              </w:rPr>
              <w:t xml:space="preserve"> Irrigação</w:t>
            </w:r>
          </w:p>
        </w:tc>
        <w:tc>
          <w:tcPr>
            <w:tcW w:w="1134" w:type="dxa"/>
            <w:tcBorders>
              <w:top w:val="single" w:sz="4" w:space="0" w:color="auto"/>
              <w:left w:val="nil"/>
              <w:bottom w:val="nil"/>
              <w:right w:val="nil"/>
            </w:tcBorders>
            <w:shd w:val="clear" w:color="auto" w:fill="auto"/>
            <w:noWrap/>
            <w:vAlign w:val="bottom"/>
            <w:hideMark/>
          </w:tcPr>
          <w:p w14:paraId="54F69CDB"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3.899</w:t>
            </w:r>
          </w:p>
        </w:tc>
        <w:tc>
          <w:tcPr>
            <w:tcW w:w="889" w:type="dxa"/>
            <w:tcBorders>
              <w:top w:val="single" w:sz="4" w:space="0" w:color="auto"/>
              <w:left w:val="nil"/>
              <w:bottom w:val="nil"/>
              <w:right w:val="nil"/>
            </w:tcBorders>
            <w:shd w:val="clear" w:color="auto" w:fill="auto"/>
            <w:noWrap/>
            <w:vAlign w:val="bottom"/>
            <w:hideMark/>
          </w:tcPr>
          <w:p w14:paraId="13EC6E07"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w:t>
            </w:r>
          </w:p>
        </w:tc>
        <w:tc>
          <w:tcPr>
            <w:tcW w:w="1130" w:type="dxa"/>
            <w:tcBorders>
              <w:top w:val="single" w:sz="4" w:space="0" w:color="auto"/>
              <w:left w:val="nil"/>
              <w:bottom w:val="nil"/>
              <w:right w:val="nil"/>
            </w:tcBorders>
            <w:shd w:val="clear" w:color="auto" w:fill="auto"/>
            <w:noWrap/>
            <w:vAlign w:val="bottom"/>
            <w:hideMark/>
          </w:tcPr>
          <w:p w14:paraId="7045CEAB"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4.744</w:t>
            </w:r>
          </w:p>
        </w:tc>
        <w:tc>
          <w:tcPr>
            <w:tcW w:w="900" w:type="dxa"/>
            <w:tcBorders>
              <w:top w:val="single" w:sz="4" w:space="0" w:color="auto"/>
              <w:left w:val="nil"/>
              <w:bottom w:val="nil"/>
              <w:right w:val="nil"/>
            </w:tcBorders>
            <w:shd w:val="clear" w:color="auto" w:fill="auto"/>
            <w:noWrap/>
            <w:vAlign w:val="bottom"/>
            <w:hideMark/>
          </w:tcPr>
          <w:p w14:paraId="411664F1"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0,9</w:t>
            </w:r>
          </w:p>
        </w:tc>
        <w:tc>
          <w:tcPr>
            <w:tcW w:w="1214" w:type="dxa"/>
            <w:tcBorders>
              <w:top w:val="single" w:sz="4" w:space="0" w:color="auto"/>
              <w:left w:val="nil"/>
              <w:bottom w:val="nil"/>
              <w:right w:val="nil"/>
            </w:tcBorders>
            <w:shd w:val="clear" w:color="auto" w:fill="auto"/>
            <w:noWrap/>
            <w:vAlign w:val="bottom"/>
            <w:hideMark/>
          </w:tcPr>
          <w:p w14:paraId="132B3DE8"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21,7</w:t>
            </w:r>
          </w:p>
        </w:tc>
      </w:tr>
      <w:tr w:rsidR="00516EE1" w:rsidRPr="0088141F" w14:paraId="7CBA3D9C"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03951E13" w14:textId="77777777" w:rsidR="00516EE1" w:rsidRPr="0088141F" w:rsidRDefault="00516EE1" w:rsidP="00E679EE">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Área. Irriga</w:t>
            </w:r>
            <w:r w:rsidR="00E679EE">
              <w:rPr>
                <w:rFonts w:ascii="Times New Roman" w:eastAsia="Times New Roman" w:hAnsi="Times New Roman" w:cs="Times New Roman"/>
                <w:sz w:val="20"/>
                <w:szCs w:val="20"/>
              </w:rPr>
              <w:t>da</w:t>
            </w:r>
          </w:p>
        </w:tc>
        <w:tc>
          <w:tcPr>
            <w:tcW w:w="1134" w:type="dxa"/>
            <w:tcBorders>
              <w:top w:val="nil"/>
              <w:left w:val="nil"/>
              <w:bottom w:val="single" w:sz="4" w:space="0" w:color="auto"/>
              <w:right w:val="nil"/>
            </w:tcBorders>
            <w:shd w:val="clear" w:color="auto" w:fill="auto"/>
            <w:noWrap/>
            <w:vAlign w:val="bottom"/>
            <w:hideMark/>
          </w:tcPr>
          <w:p w14:paraId="0AAF7022"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148.848</w:t>
            </w:r>
          </w:p>
        </w:tc>
        <w:tc>
          <w:tcPr>
            <w:tcW w:w="889" w:type="dxa"/>
            <w:tcBorders>
              <w:top w:val="nil"/>
              <w:left w:val="nil"/>
              <w:bottom w:val="single" w:sz="4" w:space="0" w:color="auto"/>
              <w:right w:val="nil"/>
            </w:tcBorders>
            <w:shd w:val="clear" w:color="auto" w:fill="auto"/>
            <w:noWrap/>
            <w:vAlign w:val="bottom"/>
            <w:hideMark/>
          </w:tcPr>
          <w:p w14:paraId="076D88CB"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3,3</w:t>
            </w:r>
          </w:p>
        </w:tc>
        <w:tc>
          <w:tcPr>
            <w:tcW w:w="1130" w:type="dxa"/>
            <w:tcBorders>
              <w:top w:val="nil"/>
              <w:left w:val="nil"/>
              <w:bottom w:val="single" w:sz="4" w:space="0" w:color="auto"/>
              <w:right w:val="nil"/>
            </w:tcBorders>
            <w:shd w:val="clear" w:color="auto" w:fill="auto"/>
            <w:noWrap/>
            <w:vAlign w:val="bottom"/>
            <w:hideMark/>
          </w:tcPr>
          <w:p w14:paraId="10258F51"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155.775</w:t>
            </w:r>
          </w:p>
        </w:tc>
        <w:tc>
          <w:tcPr>
            <w:tcW w:w="900" w:type="dxa"/>
            <w:tcBorders>
              <w:top w:val="nil"/>
              <w:left w:val="nil"/>
              <w:bottom w:val="single" w:sz="4" w:space="0" w:color="auto"/>
              <w:right w:val="nil"/>
            </w:tcBorders>
            <w:shd w:val="clear" w:color="auto" w:fill="auto"/>
            <w:noWrap/>
            <w:vAlign w:val="bottom"/>
            <w:hideMark/>
          </w:tcPr>
          <w:p w14:paraId="0BF7D96A"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2,3</w:t>
            </w:r>
          </w:p>
        </w:tc>
        <w:tc>
          <w:tcPr>
            <w:tcW w:w="1214" w:type="dxa"/>
            <w:tcBorders>
              <w:top w:val="nil"/>
              <w:left w:val="nil"/>
              <w:bottom w:val="single" w:sz="4" w:space="0" w:color="auto"/>
              <w:right w:val="nil"/>
            </w:tcBorders>
            <w:shd w:val="clear" w:color="auto" w:fill="auto"/>
            <w:noWrap/>
            <w:vAlign w:val="bottom"/>
            <w:hideMark/>
          </w:tcPr>
          <w:p w14:paraId="3E5C79D2" w14:textId="77777777" w:rsidR="00516EE1" w:rsidRPr="0088141F" w:rsidRDefault="00516EE1" w:rsidP="001F7CF4">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4,7</w:t>
            </w:r>
          </w:p>
        </w:tc>
      </w:tr>
      <w:tr w:rsidR="003045D9" w:rsidRPr="0088141F" w14:paraId="764AABDB"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0FDA7F16" w14:textId="77777777" w:rsidR="003045D9" w:rsidRPr="0088141F" w:rsidRDefault="00E679EE" w:rsidP="00E679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de </w:t>
            </w:r>
            <w:r w:rsidR="003045D9" w:rsidRPr="0088141F">
              <w:rPr>
                <w:rFonts w:ascii="Times New Roman" w:eastAsia="Times New Roman" w:hAnsi="Times New Roman" w:cs="Times New Roman"/>
                <w:sz w:val="20"/>
                <w:szCs w:val="20"/>
              </w:rPr>
              <w:t>Semeadeiras/plantadeiras</w:t>
            </w:r>
          </w:p>
        </w:tc>
        <w:tc>
          <w:tcPr>
            <w:tcW w:w="1134" w:type="dxa"/>
            <w:tcBorders>
              <w:top w:val="single" w:sz="4" w:space="0" w:color="auto"/>
              <w:left w:val="nil"/>
              <w:bottom w:val="nil"/>
              <w:right w:val="nil"/>
            </w:tcBorders>
            <w:shd w:val="clear" w:color="auto" w:fill="auto"/>
            <w:noWrap/>
            <w:vAlign w:val="bottom"/>
            <w:hideMark/>
          </w:tcPr>
          <w:p w14:paraId="4C4A3AB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13.078</w:t>
            </w:r>
          </w:p>
        </w:tc>
        <w:tc>
          <w:tcPr>
            <w:tcW w:w="889" w:type="dxa"/>
            <w:tcBorders>
              <w:top w:val="single" w:sz="4" w:space="0" w:color="auto"/>
              <w:left w:val="nil"/>
              <w:bottom w:val="nil"/>
              <w:right w:val="nil"/>
            </w:tcBorders>
            <w:shd w:val="clear" w:color="auto" w:fill="auto"/>
            <w:noWrap/>
            <w:vAlign w:val="bottom"/>
            <w:hideMark/>
          </w:tcPr>
          <w:p w14:paraId="56BC7D5D"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4,1</w:t>
            </w:r>
          </w:p>
        </w:tc>
        <w:tc>
          <w:tcPr>
            <w:tcW w:w="1130" w:type="dxa"/>
            <w:tcBorders>
              <w:top w:val="single" w:sz="4" w:space="0" w:color="auto"/>
              <w:left w:val="nil"/>
              <w:bottom w:val="nil"/>
              <w:right w:val="nil"/>
            </w:tcBorders>
            <w:shd w:val="clear" w:color="auto" w:fill="auto"/>
            <w:noWrap/>
            <w:vAlign w:val="bottom"/>
            <w:hideMark/>
          </w:tcPr>
          <w:p w14:paraId="182239A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18.183</w:t>
            </w:r>
          </w:p>
        </w:tc>
        <w:tc>
          <w:tcPr>
            <w:tcW w:w="900" w:type="dxa"/>
            <w:tcBorders>
              <w:top w:val="single" w:sz="4" w:space="0" w:color="auto"/>
              <w:left w:val="nil"/>
              <w:bottom w:val="nil"/>
              <w:right w:val="nil"/>
            </w:tcBorders>
            <w:shd w:val="clear" w:color="auto" w:fill="auto"/>
            <w:noWrap/>
            <w:vAlign w:val="bottom"/>
            <w:hideMark/>
          </w:tcPr>
          <w:p w14:paraId="740B29A3"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5,1</w:t>
            </w:r>
          </w:p>
        </w:tc>
        <w:tc>
          <w:tcPr>
            <w:tcW w:w="1214" w:type="dxa"/>
            <w:tcBorders>
              <w:top w:val="single" w:sz="4" w:space="0" w:color="auto"/>
              <w:left w:val="nil"/>
              <w:bottom w:val="nil"/>
              <w:right w:val="nil"/>
            </w:tcBorders>
            <w:shd w:val="clear" w:color="auto" w:fill="auto"/>
            <w:noWrap/>
            <w:vAlign w:val="bottom"/>
            <w:hideMark/>
          </w:tcPr>
          <w:p w14:paraId="6B494E38"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39,0</w:t>
            </w:r>
          </w:p>
        </w:tc>
      </w:tr>
      <w:tr w:rsidR="003045D9" w:rsidRPr="0088141F" w14:paraId="1B1D4D07"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29AFF7F5"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Área </w:t>
            </w:r>
            <w:proofErr w:type="spellStart"/>
            <w:proofErr w:type="gramStart"/>
            <w:r w:rsidRPr="0088141F">
              <w:rPr>
                <w:rFonts w:ascii="Times New Roman" w:eastAsia="Times New Roman" w:hAnsi="Times New Roman" w:cs="Times New Roman"/>
                <w:sz w:val="20"/>
                <w:szCs w:val="20"/>
              </w:rPr>
              <w:t>Lav</w:t>
            </w:r>
            <w:proofErr w:type="spellEnd"/>
            <w:r w:rsidRPr="0088141F">
              <w:rPr>
                <w:rFonts w:ascii="Times New Roman" w:eastAsia="Times New Roman" w:hAnsi="Times New Roman" w:cs="Times New Roman"/>
                <w:sz w:val="20"/>
                <w:szCs w:val="20"/>
              </w:rPr>
              <w:t>./</w:t>
            </w:r>
            <w:proofErr w:type="gramEnd"/>
            <w:r w:rsidRPr="0088141F">
              <w:rPr>
                <w:rFonts w:ascii="Times New Roman" w:eastAsia="Times New Roman" w:hAnsi="Times New Roman" w:cs="Times New Roman"/>
                <w:sz w:val="20"/>
                <w:szCs w:val="20"/>
              </w:rPr>
              <w:t xml:space="preserve">Sem. e </w:t>
            </w:r>
            <w:proofErr w:type="spellStart"/>
            <w:r w:rsidRPr="0088141F">
              <w:rPr>
                <w:rFonts w:ascii="Times New Roman" w:eastAsia="Times New Roman" w:hAnsi="Times New Roman" w:cs="Times New Roman"/>
                <w:sz w:val="20"/>
                <w:szCs w:val="20"/>
              </w:rPr>
              <w:t>Plant</w:t>
            </w:r>
            <w:proofErr w:type="spellEnd"/>
            <w:r w:rsidRPr="0088141F">
              <w:rPr>
                <w:rFonts w:ascii="Times New Roman" w:eastAsia="Times New Roman" w:hAnsi="Times New Roman" w:cs="Times New Roman"/>
                <w:sz w:val="20"/>
                <w:szCs w:val="20"/>
              </w:rPr>
              <w:t>.</w:t>
            </w:r>
          </w:p>
        </w:tc>
        <w:tc>
          <w:tcPr>
            <w:tcW w:w="1134" w:type="dxa"/>
            <w:tcBorders>
              <w:top w:val="nil"/>
              <w:left w:val="nil"/>
              <w:bottom w:val="single" w:sz="4" w:space="0" w:color="auto"/>
              <w:right w:val="nil"/>
            </w:tcBorders>
            <w:shd w:val="clear" w:color="auto" w:fill="auto"/>
            <w:noWrap/>
            <w:vAlign w:val="bottom"/>
            <w:hideMark/>
          </w:tcPr>
          <w:p w14:paraId="5EC82E2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491,4</w:t>
            </w:r>
          </w:p>
        </w:tc>
        <w:tc>
          <w:tcPr>
            <w:tcW w:w="889" w:type="dxa"/>
            <w:tcBorders>
              <w:top w:val="nil"/>
              <w:left w:val="nil"/>
              <w:bottom w:val="single" w:sz="4" w:space="0" w:color="auto"/>
              <w:right w:val="nil"/>
            </w:tcBorders>
            <w:shd w:val="clear" w:color="auto" w:fill="auto"/>
            <w:noWrap/>
            <w:vAlign w:val="bottom"/>
            <w:hideMark/>
          </w:tcPr>
          <w:p w14:paraId="40A0225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bottom w:val="single" w:sz="4" w:space="0" w:color="auto"/>
              <w:right w:val="nil"/>
            </w:tcBorders>
            <w:shd w:val="clear" w:color="auto" w:fill="auto"/>
            <w:noWrap/>
            <w:vAlign w:val="bottom"/>
            <w:hideMark/>
          </w:tcPr>
          <w:p w14:paraId="5A52C4C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542,6</w:t>
            </w:r>
          </w:p>
        </w:tc>
        <w:tc>
          <w:tcPr>
            <w:tcW w:w="900" w:type="dxa"/>
            <w:tcBorders>
              <w:top w:val="nil"/>
              <w:left w:val="nil"/>
              <w:bottom w:val="single" w:sz="4" w:space="0" w:color="auto"/>
              <w:right w:val="nil"/>
            </w:tcBorders>
            <w:shd w:val="clear" w:color="auto" w:fill="auto"/>
            <w:noWrap/>
            <w:vAlign w:val="bottom"/>
            <w:hideMark/>
          </w:tcPr>
          <w:p w14:paraId="34536686"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bottom w:val="single" w:sz="4" w:space="0" w:color="auto"/>
              <w:right w:val="nil"/>
            </w:tcBorders>
            <w:shd w:val="clear" w:color="auto" w:fill="auto"/>
            <w:noWrap/>
            <w:vAlign w:val="bottom"/>
            <w:hideMark/>
          </w:tcPr>
          <w:p w14:paraId="7E90FBE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10,4</w:t>
            </w:r>
          </w:p>
        </w:tc>
      </w:tr>
      <w:tr w:rsidR="003045D9" w:rsidRPr="0088141F" w14:paraId="74C91DFE"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4E20B353" w14:textId="77777777" w:rsidR="003045D9" w:rsidRPr="0088141F" w:rsidRDefault="00E679EE" w:rsidP="00E679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de </w:t>
            </w:r>
            <w:proofErr w:type="spellStart"/>
            <w:r w:rsidR="003045D9" w:rsidRPr="0088141F">
              <w:rPr>
                <w:rFonts w:ascii="Times New Roman" w:eastAsia="Times New Roman" w:hAnsi="Times New Roman" w:cs="Times New Roman"/>
                <w:sz w:val="20"/>
                <w:szCs w:val="20"/>
              </w:rPr>
              <w:t>Adubadeiras</w:t>
            </w:r>
            <w:proofErr w:type="spellEnd"/>
            <w:r w:rsidR="003045D9" w:rsidRPr="0088141F">
              <w:rPr>
                <w:rFonts w:ascii="Times New Roman" w:eastAsia="Times New Roman" w:hAnsi="Times New Roman" w:cs="Times New Roman"/>
                <w:sz w:val="20"/>
                <w:szCs w:val="20"/>
              </w:rPr>
              <w:t xml:space="preserve"> e/ou </w:t>
            </w:r>
            <w:proofErr w:type="spellStart"/>
            <w:r w:rsidR="003045D9" w:rsidRPr="0088141F">
              <w:rPr>
                <w:rFonts w:ascii="Times New Roman" w:eastAsia="Times New Roman" w:hAnsi="Times New Roman" w:cs="Times New Roman"/>
                <w:sz w:val="20"/>
                <w:szCs w:val="20"/>
              </w:rPr>
              <w:t>distrib</w:t>
            </w:r>
            <w:proofErr w:type="spellEnd"/>
            <w:r w:rsidR="003045D9" w:rsidRPr="0088141F">
              <w:rPr>
                <w:rFonts w:ascii="Times New Roman" w:eastAsia="Times New Roman" w:hAnsi="Times New Roman" w:cs="Times New Roman"/>
                <w:sz w:val="20"/>
                <w:szCs w:val="20"/>
              </w:rPr>
              <w:t>. calcário</w:t>
            </w:r>
          </w:p>
        </w:tc>
        <w:tc>
          <w:tcPr>
            <w:tcW w:w="1134" w:type="dxa"/>
            <w:tcBorders>
              <w:top w:val="single" w:sz="4" w:space="0" w:color="auto"/>
              <w:left w:val="nil"/>
              <w:bottom w:val="nil"/>
              <w:right w:val="nil"/>
            </w:tcBorders>
            <w:shd w:val="clear" w:color="auto" w:fill="auto"/>
            <w:noWrap/>
            <w:vAlign w:val="bottom"/>
            <w:hideMark/>
          </w:tcPr>
          <w:p w14:paraId="578C505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6.370</w:t>
            </w:r>
          </w:p>
        </w:tc>
        <w:tc>
          <w:tcPr>
            <w:tcW w:w="889" w:type="dxa"/>
            <w:tcBorders>
              <w:top w:val="single" w:sz="4" w:space="0" w:color="auto"/>
              <w:left w:val="nil"/>
              <w:bottom w:val="nil"/>
              <w:right w:val="nil"/>
            </w:tcBorders>
            <w:shd w:val="clear" w:color="auto" w:fill="auto"/>
            <w:noWrap/>
            <w:vAlign w:val="bottom"/>
            <w:hideMark/>
          </w:tcPr>
          <w:p w14:paraId="3CF2131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4,3</w:t>
            </w:r>
          </w:p>
        </w:tc>
        <w:tc>
          <w:tcPr>
            <w:tcW w:w="1130" w:type="dxa"/>
            <w:tcBorders>
              <w:top w:val="single" w:sz="4" w:space="0" w:color="auto"/>
              <w:left w:val="nil"/>
              <w:bottom w:val="nil"/>
              <w:right w:val="nil"/>
            </w:tcBorders>
            <w:shd w:val="clear" w:color="auto" w:fill="auto"/>
            <w:noWrap/>
            <w:vAlign w:val="bottom"/>
            <w:hideMark/>
          </w:tcPr>
          <w:p w14:paraId="2DD3F14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12.941</w:t>
            </w:r>
          </w:p>
        </w:tc>
        <w:tc>
          <w:tcPr>
            <w:tcW w:w="900" w:type="dxa"/>
            <w:tcBorders>
              <w:top w:val="single" w:sz="4" w:space="0" w:color="auto"/>
              <w:left w:val="nil"/>
              <w:bottom w:val="nil"/>
              <w:right w:val="nil"/>
            </w:tcBorders>
            <w:shd w:val="clear" w:color="auto" w:fill="auto"/>
            <w:noWrap/>
            <w:vAlign w:val="bottom"/>
            <w:hideMark/>
          </w:tcPr>
          <w:p w14:paraId="36DC6EBD"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5,1</w:t>
            </w:r>
          </w:p>
        </w:tc>
        <w:tc>
          <w:tcPr>
            <w:tcW w:w="1214" w:type="dxa"/>
            <w:tcBorders>
              <w:top w:val="single" w:sz="4" w:space="0" w:color="auto"/>
              <w:left w:val="nil"/>
              <w:bottom w:val="nil"/>
              <w:right w:val="nil"/>
            </w:tcBorders>
            <w:shd w:val="clear" w:color="auto" w:fill="auto"/>
            <w:noWrap/>
            <w:vAlign w:val="bottom"/>
            <w:hideMark/>
          </w:tcPr>
          <w:p w14:paraId="41910DB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103,2</w:t>
            </w:r>
          </w:p>
        </w:tc>
      </w:tr>
      <w:tr w:rsidR="003045D9" w:rsidRPr="0088141F" w14:paraId="2FAF3AD1"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62908FA9"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Área </w:t>
            </w:r>
            <w:proofErr w:type="spellStart"/>
            <w:proofErr w:type="gramStart"/>
            <w:r w:rsidRPr="0088141F">
              <w:rPr>
                <w:rFonts w:ascii="Times New Roman" w:eastAsia="Times New Roman" w:hAnsi="Times New Roman" w:cs="Times New Roman"/>
                <w:sz w:val="20"/>
                <w:szCs w:val="20"/>
              </w:rPr>
              <w:t>Lav</w:t>
            </w:r>
            <w:proofErr w:type="spellEnd"/>
            <w:r w:rsidRPr="0088141F">
              <w:rPr>
                <w:rFonts w:ascii="Times New Roman" w:eastAsia="Times New Roman" w:hAnsi="Times New Roman" w:cs="Times New Roman"/>
                <w:sz w:val="20"/>
                <w:szCs w:val="20"/>
              </w:rPr>
              <w:t>./</w:t>
            </w:r>
            <w:proofErr w:type="spellStart"/>
            <w:proofErr w:type="gramEnd"/>
            <w:r w:rsidRPr="0088141F">
              <w:rPr>
                <w:rFonts w:ascii="Times New Roman" w:eastAsia="Times New Roman" w:hAnsi="Times New Roman" w:cs="Times New Roman"/>
                <w:sz w:val="20"/>
                <w:szCs w:val="20"/>
              </w:rPr>
              <w:t>Adubadeiras</w:t>
            </w:r>
            <w:proofErr w:type="spellEnd"/>
          </w:p>
        </w:tc>
        <w:tc>
          <w:tcPr>
            <w:tcW w:w="1134" w:type="dxa"/>
            <w:tcBorders>
              <w:top w:val="nil"/>
              <w:left w:val="nil"/>
              <w:bottom w:val="single" w:sz="4" w:space="0" w:color="auto"/>
              <w:right w:val="nil"/>
            </w:tcBorders>
            <w:shd w:val="clear" w:color="auto" w:fill="auto"/>
            <w:noWrap/>
            <w:vAlign w:val="bottom"/>
            <w:hideMark/>
          </w:tcPr>
          <w:p w14:paraId="5EE41FE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1.008,9</w:t>
            </w:r>
          </w:p>
        </w:tc>
        <w:tc>
          <w:tcPr>
            <w:tcW w:w="889" w:type="dxa"/>
            <w:tcBorders>
              <w:top w:val="nil"/>
              <w:left w:val="nil"/>
              <w:bottom w:val="single" w:sz="4" w:space="0" w:color="auto"/>
              <w:right w:val="nil"/>
            </w:tcBorders>
            <w:shd w:val="clear" w:color="auto" w:fill="auto"/>
            <w:noWrap/>
            <w:vAlign w:val="bottom"/>
            <w:hideMark/>
          </w:tcPr>
          <w:p w14:paraId="70A9EFF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bottom w:val="single" w:sz="4" w:space="0" w:color="auto"/>
              <w:right w:val="nil"/>
            </w:tcBorders>
            <w:shd w:val="clear" w:color="auto" w:fill="auto"/>
            <w:noWrap/>
            <w:vAlign w:val="bottom"/>
            <w:hideMark/>
          </w:tcPr>
          <w:p w14:paraId="4268806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762,4</w:t>
            </w:r>
          </w:p>
        </w:tc>
        <w:tc>
          <w:tcPr>
            <w:tcW w:w="900" w:type="dxa"/>
            <w:tcBorders>
              <w:top w:val="nil"/>
              <w:left w:val="nil"/>
              <w:bottom w:val="single" w:sz="4" w:space="0" w:color="auto"/>
              <w:right w:val="nil"/>
            </w:tcBorders>
            <w:shd w:val="clear" w:color="auto" w:fill="auto"/>
            <w:noWrap/>
            <w:vAlign w:val="bottom"/>
            <w:hideMark/>
          </w:tcPr>
          <w:p w14:paraId="3E137C0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bottom w:val="single" w:sz="4" w:space="0" w:color="auto"/>
              <w:right w:val="nil"/>
            </w:tcBorders>
            <w:shd w:val="clear" w:color="auto" w:fill="auto"/>
            <w:noWrap/>
            <w:vAlign w:val="bottom"/>
            <w:hideMark/>
          </w:tcPr>
          <w:p w14:paraId="0C8A4615"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-24,4</w:t>
            </w:r>
          </w:p>
        </w:tc>
      </w:tr>
      <w:tr w:rsidR="003045D9" w:rsidRPr="0088141F" w14:paraId="2B5867C1"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70703DB0" w14:textId="77777777" w:rsidR="003045D9" w:rsidRPr="0088141F" w:rsidRDefault="00E679EE"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de</w:t>
            </w:r>
            <w:r w:rsidRPr="0088141F">
              <w:rPr>
                <w:rFonts w:ascii="Times New Roman" w:eastAsia="Times New Roman" w:hAnsi="Times New Roman" w:cs="Times New Roman"/>
                <w:sz w:val="20"/>
                <w:szCs w:val="20"/>
              </w:rPr>
              <w:t xml:space="preserve"> </w:t>
            </w:r>
            <w:r w:rsidR="003045D9" w:rsidRPr="0088141F">
              <w:rPr>
                <w:rFonts w:ascii="Times New Roman" w:eastAsia="Times New Roman" w:hAnsi="Times New Roman" w:cs="Times New Roman"/>
                <w:sz w:val="20"/>
                <w:szCs w:val="20"/>
              </w:rPr>
              <w:t>Colheitadeiras</w:t>
            </w:r>
          </w:p>
        </w:tc>
        <w:tc>
          <w:tcPr>
            <w:tcW w:w="1134" w:type="dxa"/>
            <w:tcBorders>
              <w:top w:val="single" w:sz="4" w:space="0" w:color="auto"/>
              <w:left w:val="nil"/>
              <w:bottom w:val="nil"/>
              <w:right w:val="nil"/>
            </w:tcBorders>
            <w:shd w:val="clear" w:color="auto" w:fill="auto"/>
            <w:noWrap/>
            <w:vAlign w:val="bottom"/>
            <w:hideMark/>
          </w:tcPr>
          <w:p w14:paraId="1CFB7A02"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9.020</w:t>
            </w:r>
          </w:p>
        </w:tc>
        <w:tc>
          <w:tcPr>
            <w:tcW w:w="889" w:type="dxa"/>
            <w:tcBorders>
              <w:top w:val="single" w:sz="4" w:space="0" w:color="auto"/>
              <w:left w:val="nil"/>
              <w:bottom w:val="nil"/>
              <w:right w:val="nil"/>
            </w:tcBorders>
            <w:shd w:val="clear" w:color="auto" w:fill="auto"/>
            <w:noWrap/>
            <w:vAlign w:val="bottom"/>
            <w:hideMark/>
          </w:tcPr>
          <w:p w14:paraId="768455F2"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7,8</w:t>
            </w:r>
          </w:p>
        </w:tc>
        <w:tc>
          <w:tcPr>
            <w:tcW w:w="1130" w:type="dxa"/>
            <w:tcBorders>
              <w:top w:val="single" w:sz="4" w:space="0" w:color="auto"/>
              <w:left w:val="nil"/>
              <w:bottom w:val="nil"/>
              <w:right w:val="nil"/>
            </w:tcBorders>
            <w:shd w:val="clear" w:color="auto" w:fill="auto"/>
            <w:noWrap/>
            <w:vAlign w:val="bottom"/>
            <w:hideMark/>
          </w:tcPr>
          <w:p w14:paraId="4DE22018"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15.766</w:t>
            </w:r>
          </w:p>
        </w:tc>
        <w:tc>
          <w:tcPr>
            <w:tcW w:w="900" w:type="dxa"/>
            <w:tcBorders>
              <w:top w:val="single" w:sz="4" w:space="0" w:color="auto"/>
              <w:left w:val="nil"/>
              <w:bottom w:val="nil"/>
              <w:right w:val="nil"/>
            </w:tcBorders>
            <w:shd w:val="clear" w:color="auto" w:fill="auto"/>
            <w:noWrap/>
            <w:vAlign w:val="bottom"/>
            <w:hideMark/>
          </w:tcPr>
          <w:p w14:paraId="76F62A3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9,2</w:t>
            </w:r>
          </w:p>
        </w:tc>
        <w:tc>
          <w:tcPr>
            <w:tcW w:w="1214" w:type="dxa"/>
            <w:tcBorders>
              <w:top w:val="single" w:sz="4" w:space="0" w:color="auto"/>
              <w:left w:val="nil"/>
              <w:bottom w:val="nil"/>
              <w:right w:val="nil"/>
            </w:tcBorders>
            <w:shd w:val="clear" w:color="auto" w:fill="auto"/>
            <w:noWrap/>
            <w:vAlign w:val="bottom"/>
            <w:hideMark/>
          </w:tcPr>
          <w:p w14:paraId="5CBF20C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74,8</w:t>
            </w:r>
          </w:p>
        </w:tc>
      </w:tr>
      <w:tr w:rsidR="003045D9" w:rsidRPr="0088141F" w14:paraId="4DBFE3F2"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79911035"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Área Total/Colheitadeiras</w:t>
            </w:r>
          </w:p>
        </w:tc>
        <w:tc>
          <w:tcPr>
            <w:tcW w:w="1134" w:type="dxa"/>
            <w:tcBorders>
              <w:top w:val="nil"/>
              <w:left w:val="nil"/>
              <w:bottom w:val="single" w:sz="4" w:space="0" w:color="auto"/>
              <w:right w:val="nil"/>
            </w:tcBorders>
            <w:shd w:val="clear" w:color="auto" w:fill="auto"/>
            <w:noWrap/>
            <w:vAlign w:val="bottom"/>
            <w:hideMark/>
          </w:tcPr>
          <w:p w14:paraId="4D27AAD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712,5</w:t>
            </w:r>
          </w:p>
        </w:tc>
        <w:tc>
          <w:tcPr>
            <w:tcW w:w="889" w:type="dxa"/>
            <w:tcBorders>
              <w:top w:val="nil"/>
              <w:left w:val="nil"/>
              <w:bottom w:val="single" w:sz="4" w:space="0" w:color="auto"/>
              <w:right w:val="nil"/>
            </w:tcBorders>
            <w:shd w:val="clear" w:color="auto" w:fill="auto"/>
            <w:noWrap/>
            <w:vAlign w:val="bottom"/>
            <w:hideMark/>
          </w:tcPr>
          <w:p w14:paraId="05D15E50"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bottom w:val="single" w:sz="4" w:space="0" w:color="auto"/>
              <w:right w:val="nil"/>
            </w:tcBorders>
            <w:shd w:val="clear" w:color="auto" w:fill="auto"/>
            <w:noWrap/>
            <w:vAlign w:val="bottom"/>
            <w:hideMark/>
          </w:tcPr>
          <w:p w14:paraId="4C1BC7A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625,8</w:t>
            </w:r>
          </w:p>
        </w:tc>
        <w:tc>
          <w:tcPr>
            <w:tcW w:w="900" w:type="dxa"/>
            <w:tcBorders>
              <w:top w:val="nil"/>
              <w:left w:val="nil"/>
              <w:bottom w:val="single" w:sz="4" w:space="0" w:color="auto"/>
              <w:right w:val="nil"/>
            </w:tcBorders>
            <w:shd w:val="clear" w:color="auto" w:fill="auto"/>
            <w:noWrap/>
            <w:vAlign w:val="bottom"/>
            <w:hideMark/>
          </w:tcPr>
          <w:p w14:paraId="60C6378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bottom w:val="single" w:sz="4" w:space="0" w:color="auto"/>
              <w:right w:val="nil"/>
            </w:tcBorders>
            <w:shd w:val="clear" w:color="auto" w:fill="auto"/>
            <w:noWrap/>
            <w:vAlign w:val="bottom"/>
            <w:hideMark/>
          </w:tcPr>
          <w:p w14:paraId="2F4D90FC"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-12,2</w:t>
            </w:r>
          </w:p>
        </w:tc>
      </w:tr>
      <w:tr w:rsidR="003045D9" w:rsidRPr="0088141F" w14:paraId="7DFF811A" w14:textId="77777777" w:rsidTr="00E679EE">
        <w:trPr>
          <w:trHeight w:val="20"/>
        </w:trPr>
        <w:tc>
          <w:tcPr>
            <w:tcW w:w="3828" w:type="dxa"/>
            <w:tcBorders>
              <w:top w:val="single" w:sz="4" w:space="0" w:color="auto"/>
              <w:left w:val="nil"/>
              <w:bottom w:val="nil"/>
              <w:right w:val="nil"/>
            </w:tcBorders>
            <w:shd w:val="clear" w:color="auto" w:fill="auto"/>
            <w:noWrap/>
            <w:vAlign w:val="bottom"/>
            <w:hideMark/>
          </w:tcPr>
          <w:p w14:paraId="559890EE" w14:textId="77777777" w:rsidR="003045D9" w:rsidRPr="0088141F" w:rsidRDefault="00E679EE" w:rsidP="00E679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Estabelecimento</w:t>
            </w:r>
            <w:r w:rsidR="003045D9" w:rsidRPr="0088141F">
              <w:rPr>
                <w:rFonts w:ascii="Times New Roman" w:eastAsia="Times New Roman" w:hAnsi="Times New Roman" w:cs="Times New Roman"/>
                <w:sz w:val="20"/>
                <w:szCs w:val="20"/>
              </w:rPr>
              <w:t xml:space="preserve"> c/ Trator</w:t>
            </w:r>
          </w:p>
        </w:tc>
        <w:tc>
          <w:tcPr>
            <w:tcW w:w="1134" w:type="dxa"/>
            <w:tcBorders>
              <w:top w:val="single" w:sz="4" w:space="0" w:color="auto"/>
              <w:left w:val="nil"/>
              <w:bottom w:val="nil"/>
              <w:right w:val="nil"/>
            </w:tcBorders>
            <w:shd w:val="clear" w:color="auto" w:fill="auto"/>
            <w:noWrap/>
            <w:vAlign w:val="bottom"/>
            <w:hideMark/>
          </w:tcPr>
          <w:p w14:paraId="58FCE86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18.443</w:t>
            </w:r>
          </w:p>
        </w:tc>
        <w:tc>
          <w:tcPr>
            <w:tcW w:w="889" w:type="dxa"/>
            <w:tcBorders>
              <w:top w:val="single" w:sz="4" w:space="0" w:color="auto"/>
              <w:left w:val="nil"/>
              <w:bottom w:val="nil"/>
              <w:right w:val="nil"/>
            </w:tcBorders>
            <w:shd w:val="clear" w:color="auto" w:fill="auto"/>
            <w:noWrap/>
            <w:vAlign w:val="bottom"/>
            <w:hideMark/>
          </w:tcPr>
          <w:p w14:paraId="796BBCF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3,5</w:t>
            </w:r>
          </w:p>
        </w:tc>
        <w:tc>
          <w:tcPr>
            <w:tcW w:w="1130" w:type="dxa"/>
            <w:tcBorders>
              <w:top w:val="single" w:sz="4" w:space="0" w:color="auto"/>
              <w:left w:val="nil"/>
              <w:bottom w:val="nil"/>
              <w:right w:val="nil"/>
            </w:tcBorders>
            <w:shd w:val="clear" w:color="auto" w:fill="auto"/>
            <w:noWrap/>
            <w:vAlign w:val="bottom"/>
            <w:hideMark/>
          </w:tcPr>
          <w:p w14:paraId="353DF108"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29.956</w:t>
            </w:r>
          </w:p>
        </w:tc>
        <w:tc>
          <w:tcPr>
            <w:tcW w:w="900" w:type="dxa"/>
            <w:tcBorders>
              <w:top w:val="single" w:sz="4" w:space="0" w:color="auto"/>
              <w:left w:val="nil"/>
              <w:bottom w:val="nil"/>
              <w:right w:val="nil"/>
            </w:tcBorders>
            <w:shd w:val="clear" w:color="auto" w:fill="auto"/>
            <w:noWrap/>
            <w:vAlign w:val="bottom"/>
            <w:hideMark/>
          </w:tcPr>
          <w:p w14:paraId="24547F86"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4,1</w:t>
            </w:r>
          </w:p>
        </w:tc>
        <w:tc>
          <w:tcPr>
            <w:tcW w:w="1214" w:type="dxa"/>
            <w:tcBorders>
              <w:top w:val="single" w:sz="4" w:space="0" w:color="auto"/>
              <w:left w:val="nil"/>
              <w:bottom w:val="nil"/>
              <w:right w:val="nil"/>
            </w:tcBorders>
            <w:shd w:val="clear" w:color="auto" w:fill="auto"/>
            <w:noWrap/>
            <w:vAlign w:val="bottom"/>
            <w:hideMark/>
          </w:tcPr>
          <w:p w14:paraId="58ACF352"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62,4</w:t>
            </w:r>
          </w:p>
        </w:tc>
      </w:tr>
      <w:tr w:rsidR="003045D9" w:rsidRPr="0088141F" w14:paraId="2276C65C" w14:textId="77777777" w:rsidTr="00E679EE">
        <w:trPr>
          <w:trHeight w:val="20"/>
        </w:trPr>
        <w:tc>
          <w:tcPr>
            <w:tcW w:w="3828" w:type="dxa"/>
            <w:tcBorders>
              <w:top w:val="nil"/>
              <w:left w:val="nil"/>
              <w:bottom w:val="nil"/>
              <w:right w:val="nil"/>
            </w:tcBorders>
            <w:shd w:val="clear" w:color="auto" w:fill="auto"/>
            <w:noWrap/>
            <w:vAlign w:val="bottom"/>
            <w:hideMark/>
          </w:tcPr>
          <w:p w14:paraId="4E08CD5D" w14:textId="77777777" w:rsidR="003045D9" w:rsidRPr="0088141F" w:rsidRDefault="00057B3D" w:rsidP="00057B3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de</w:t>
            </w:r>
            <w:r w:rsidR="003045D9" w:rsidRPr="0088141F">
              <w:rPr>
                <w:rFonts w:ascii="Times New Roman" w:eastAsia="Times New Roman" w:hAnsi="Times New Roman" w:cs="Times New Roman"/>
                <w:sz w:val="20"/>
                <w:szCs w:val="20"/>
              </w:rPr>
              <w:t xml:space="preserve"> Trator</w:t>
            </w:r>
            <w:r>
              <w:rPr>
                <w:rFonts w:ascii="Times New Roman" w:eastAsia="Times New Roman" w:hAnsi="Times New Roman" w:cs="Times New Roman"/>
                <w:sz w:val="20"/>
                <w:szCs w:val="20"/>
              </w:rPr>
              <w:t>es</w:t>
            </w:r>
          </w:p>
        </w:tc>
        <w:tc>
          <w:tcPr>
            <w:tcW w:w="1134" w:type="dxa"/>
            <w:tcBorders>
              <w:top w:val="nil"/>
              <w:left w:val="nil"/>
              <w:bottom w:val="nil"/>
              <w:right w:val="nil"/>
            </w:tcBorders>
            <w:shd w:val="clear" w:color="auto" w:fill="auto"/>
            <w:noWrap/>
            <w:vAlign w:val="bottom"/>
            <w:hideMark/>
          </w:tcPr>
          <w:p w14:paraId="42BB39A2"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42.330</w:t>
            </w:r>
          </w:p>
        </w:tc>
        <w:tc>
          <w:tcPr>
            <w:tcW w:w="889" w:type="dxa"/>
            <w:tcBorders>
              <w:top w:val="nil"/>
              <w:left w:val="nil"/>
              <w:bottom w:val="nil"/>
              <w:right w:val="nil"/>
            </w:tcBorders>
            <w:shd w:val="clear" w:color="auto" w:fill="auto"/>
            <w:noWrap/>
            <w:vAlign w:val="bottom"/>
            <w:hideMark/>
          </w:tcPr>
          <w:p w14:paraId="239ED551"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5,2</w:t>
            </w:r>
          </w:p>
        </w:tc>
        <w:tc>
          <w:tcPr>
            <w:tcW w:w="1130" w:type="dxa"/>
            <w:tcBorders>
              <w:top w:val="nil"/>
              <w:left w:val="nil"/>
              <w:bottom w:val="nil"/>
              <w:right w:val="nil"/>
            </w:tcBorders>
            <w:shd w:val="clear" w:color="auto" w:fill="auto"/>
            <w:noWrap/>
            <w:vAlign w:val="bottom"/>
            <w:hideMark/>
          </w:tcPr>
          <w:p w14:paraId="1F6A599F"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71.132</w:t>
            </w:r>
          </w:p>
        </w:tc>
        <w:tc>
          <w:tcPr>
            <w:tcW w:w="900" w:type="dxa"/>
            <w:tcBorders>
              <w:top w:val="nil"/>
              <w:left w:val="nil"/>
              <w:bottom w:val="nil"/>
              <w:right w:val="nil"/>
            </w:tcBorders>
            <w:shd w:val="clear" w:color="auto" w:fill="auto"/>
            <w:noWrap/>
            <w:vAlign w:val="bottom"/>
            <w:hideMark/>
          </w:tcPr>
          <w:p w14:paraId="4DFCF065"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5,8</w:t>
            </w:r>
          </w:p>
        </w:tc>
        <w:tc>
          <w:tcPr>
            <w:tcW w:w="1214" w:type="dxa"/>
            <w:tcBorders>
              <w:top w:val="nil"/>
              <w:left w:val="nil"/>
              <w:bottom w:val="nil"/>
              <w:right w:val="nil"/>
            </w:tcBorders>
            <w:shd w:val="clear" w:color="auto" w:fill="auto"/>
            <w:noWrap/>
            <w:vAlign w:val="bottom"/>
            <w:hideMark/>
          </w:tcPr>
          <w:p w14:paraId="7B9F1F0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68,0</w:t>
            </w:r>
          </w:p>
        </w:tc>
      </w:tr>
      <w:tr w:rsidR="003045D9" w:rsidRPr="0088141F" w14:paraId="42D872A8" w14:textId="77777777" w:rsidTr="00E679EE">
        <w:trPr>
          <w:trHeight w:val="20"/>
        </w:trPr>
        <w:tc>
          <w:tcPr>
            <w:tcW w:w="3828" w:type="dxa"/>
            <w:tcBorders>
              <w:top w:val="nil"/>
              <w:left w:val="nil"/>
              <w:bottom w:val="nil"/>
              <w:right w:val="nil"/>
            </w:tcBorders>
            <w:shd w:val="clear" w:color="auto" w:fill="auto"/>
            <w:noWrap/>
            <w:vAlign w:val="bottom"/>
            <w:hideMark/>
          </w:tcPr>
          <w:p w14:paraId="41A4777C" w14:textId="77777777" w:rsidR="003045D9" w:rsidRPr="0088141F" w:rsidRDefault="00057B3D" w:rsidP="003045D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045D9" w:rsidRPr="0088141F">
              <w:rPr>
                <w:rFonts w:ascii="Times New Roman" w:eastAsia="Times New Roman" w:hAnsi="Times New Roman" w:cs="Times New Roman"/>
                <w:sz w:val="20"/>
                <w:szCs w:val="20"/>
              </w:rPr>
              <w:t xml:space="preserve">N. </w:t>
            </w:r>
            <w:proofErr w:type="spellStart"/>
            <w:r w:rsidR="003045D9" w:rsidRPr="0088141F">
              <w:rPr>
                <w:rFonts w:ascii="Times New Roman" w:eastAsia="Times New Roman" w:hAnsi="Times New Roman" w:cs="Times New Roman"/>
                <w:sz w:val="20"/>
                <w:szCs w:val="20"/>
              </w:rPr>
              <w:t>Estab</w:t>
            </w:r>
            <w:proofErr w:type="spellEnd"/>
            <w:r w:rsidR="003045D9" w:rsidRPr="0088141F">
              <w:rPr>
                <w:rFonts w:ascii="Times New Roman" w:eastAsia="Times New Roman" w:hAnsi="Times New Roman" w:cs="Times New Roman"/>
                <w:sz w:val="20"/>
                <w:szCs w:val="20"/>
              </w:rPr>
              <w:t xml:space="preserve">. c/ Trator / N. </w:t>
            </w:r>
            <w:proofErr w:type="spellStart"/>
            <w:r w:rsidR="003045D9" w:rsidRPr="0088141F">
              <w:rPr>
                <w:rFonts w:ascii="Times New Roman" w:eastAsia="Times New Roman" w:hAnsi="Times New Roman" w:cs="Times New Roman"/>
                <w:sz w:val="20"/>
                <w:szCs w:val="20"/>
              </w:rPr>
              <w:t>Estab</w:t>
            </w:r>
            <w:proofErr w:type="spellEnd"/>
            <w:r w:rsidR="003045D9" w:rsidRPr="0088141F">
              <w:rPr>
                <w:rFonts w:ascii="Times New Roman" w:eastAsia="Times New Roman" w:hAnsi="Times New Roman" w:cs="Times New Roman"/>
                <w:sz w:val="20"/>
                <w:szCs w:val="20"/>
              </w:rPr>
              <w:t>. (%)</w:t>
            </w:r>
          </w:p>
        </w:tc>
        <w:tc>
          <w:tcPr>
            <w:tcW w:w="1134" w:type="dxa"/>
            <w:tcBorders>
              <w:top w:val="nil"/>
              <w:left w:val="nil"/>
              <w:bottom w:val="nil"/>
              <w:right w:val="nil"/>
            </w:tcBorders>
            <w:shd w:val="clear" w:color="auto" w:fill="auto"/>
            <w:noWrap/>
            <w:vAlign w:val="bottom"/>
            <w:hideMark/>
          </w:tcPr>
          <w:p w14:paraId="5D88B580"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16,3</w:t>
            </w:r>
          </w:p>
        </w:tc>
        <w:tc>
          <w:tcPr>
            <w:tcW w:w="889" w:type="dxa"/>
            <w:tcBorders>
              <w:top w:val="nil"/>
              <w:left w:val="nil"/>
              <w:bottom w:val="nil"/>
              <w:right w:val="nil"/>
            </w:tcBorders>
            <w:shd w:val="clear" w:color="auto" w:fill="auto"/>
            <w:noWrap/>
            <w:vAlign w:val="bottom"/>
            <w:hideMark/>
          </w:tcPr>
          <w:p w14:paraId="60A7C717" w14:textId="77777777" w:rsidR="003045D9" w:rsidRPr="0088141F" w:rsidRDefault="00405A42"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bottom w:val="nil"/>
              <w:right w:val="nil"/>
            </w:tcBorders>
            <w:shd w:val="clear" w:color="auto" w:fill="auto"/>
            <w:noWrap/>
            <w:vAlign w:val="bottom"/>
            <w:hideMark/>
          </w:tcPr>
          <w:p w14:paraId="1F8DA42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25,2</w:t>
            </w:r>
          </w:p>
        </w:tc>
        <w:tc>
          <w:tcPr>
            <w:tcW w:w="900" w:type="dxa"/>
            <w:tcBorders>
              <w:top w:val="nil"/>
              <w:left w:val="nil"/>
              <w:bottom w:val="nil"/>
              <w:right w:val="nil"/>
            </w:tcBorders>
            <w:shd w:val="clear" w:color="auto" w:fill="auto"/>
            <w:noWrap/>
            <w:vAlign w:val="bottom"/>
            <w:hideMark/>
          </w:tcPr>
          <w:p w14:paraId="17DF7477" w14:textId="77777777" w:rsidR="003045D9" w:rsidRPr="0088141F" w:rsidRDefault="00405A42"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bottom w:val="nil"/>
              <w:right w:val="nil"/>
            </w:tcBorders>
            <w:shd w:val="clear" w:color="auto" w:fill="auto"/>
            <w:noWrap/>
            <w:vAlign w:val="bottom"/>
            <w:hideMark/>
          </w:tcPr>
          <w:p w14:paraId="7283BC37"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54,6</w:t>
            </w:r>
          </w:p>
        </w:tc>
      </w:tr>
      <w:tr w:rsidR="003045D9" w:rsidRPr="0088141F" w14:paraId="3404BA82" w14:textId="77777777" w:rsidTr="00E679EE">
        <w:trPr>
          <w:trHeight w:val="20"/>
        </w:trPr>
        <w:tc>
          <w:tcPr>
            <w:tcW w:w="3828" w:type="dxa"/>
            <w:tcBorders>
              <w:top w:val="nil"/>
              <w:left w:val="nil"/>
              <w:right w:val="nil"/>
            </w:tcBorders>
            <w:shd w:val="clear" w:color="auto" w:fill="auto"/>
            <w:noWrap/>
            <w:vAlign w:val="bottom"/>
            <w:hideMark/>
          </w:tcPr>
          <w:p w14:paraId="04B3676F"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Ár. Total/Número de trator</w:t>
            </w:r>
            <w:r w:rsidR="00057B3D">
              <w:rPr>
                <w:rFonts w:ascii="Times New Roman" w:eastAsia="Times New Roman" w:hAnsi="Times New Roman" w:cs="Times New Roman"/>
                <w:sz w:val="20"/>
                <w:szCs w:val="20"/>
              </w:rPr>
              <w:t>es</w:t>
            </w:r>
          </w:p>
        </w:tc>
        <w:tc>
          <w:tcPr>
            <w:tcW w:w="1134" w:type="dxa"/>
            <w:tcBorders>
              <w:top w:val="nil"/>
              <w:left w:val="nil"/>
              <w:right w:val="nil"/>
            </w:tcBorders>
            <w:shd w:val="clear" w:color="auto" w:fill="auto"/>
            <w:noWrap/>
            <w:vAlign w:val="bottom"/>
            <w:hideMark/>
          </w:tcPr>
          <w:p w14:paraId="7193BCFA"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1.150,2</w:t>
            </w:r>
          </w:p>
        </w:tc>
        <w:tc>
          <w:tcPr>
            <w:tcW w:w="889" w:type="dxa"/>
            <w:tcBorders>
              <w:top w:val="nil"/>
              <w:left w:val="nil"/>
              <w:right w:val="nil"/>
            </w:tcBorders>
            <w:shd w:val="clear" w:color="auto" w:fill="auto"/>
            <w:noWrap/>
            <w:vAlign w:val="bottom"/>
            <w:hideMark/>
          </w:tcPr>
          <w:p w14:paraId="4BC5B0BD"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right w:val="nil"/>
            </w:tcBorders>
            <w:shd w:val="clear" w:color="auto" w:fill="auto"/>
            <w:noWrap/>
            <w:vAlign w:val="bottom"/>
            <w:hideMark/>
          </w:tcPr>
          <w:p w14:paraId="7A1A2E7B"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772,1</w:t>
            </w:r>
          </w:p>
        </w:tc>
        <w:tc>
          <w:tcPr>
            <w:tcW w:w="900" w:type="dxa"/>
            <w:tcBorders>
              <w:top w:val="nil"/>
              <w:left w:val="nil"/>
              <w:right w:val="nil"/>
            </w:tcBorders>
            <w:shd w:val="clear" w:color="auto" w:fill="auto"/>
            <w:noWrap/>
            <w:vAlign w:val="bottom"/>
            <w:hideMark/>
          </w:tcPr>
          <w:p w14:paraId="59760D22"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right w:val="nil"/>
            </w:tcBorders>
            <w:shd w:val="clear" w:color="auto" w:fill="auto"/>
            <w:noWrap/>
            <w:vAlign w:val="bottom"/>
            <w:hideMark/>
          </w:tcPr>
          <w:p w14:paraId="20E2B349"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-32,9</w:t>
            </w:r>
          </w:p>
        </w:tc>
      </w:tr>
      <w:tr w:rsidR="003045D9" w:rsidRPr="0088141F" w14:paraId="1743B869" w14:textId="77777777" w:rsidTr="00E679EE">
        <w:trPr>
          <w:trHeight w:val="20"/>
        </w:trPr>
        <w:tc>
          <w:tcPr>
            <w:tcW w:w="3828" w:type="dxa"/>
            <w:tcBorders>
              <w:top w:val="nil"/>
              <w:left w:val="nil"/>
              <w:bottom w:val="single" w:sz="4" w:space="0" w:color="auto"/>
              <w:right w:val="nil"/>
            </w:tcBorders>
            <w:shd w:val="clear" w:color="auto" w:fill="auto"/>
            <w:noWrap/>
            <w:vAlign w:val="bottom"/>
            <w:hideMark/>
          </w:tcPr>
          <w:p w14:paraId="3473CF8A" w14:textId="77777777" w:rsidR="003045D9" w:rsidRPr="0088141F" w:rsidRDefault="003045D9" w:rsidP="003045D9">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Pessoal Ocupado/N° de trator</w:t>
            </w:r>
            <w:r w:rsidR="00057B3D">
              <w:rPr>
                <w:rFonts w:ascii="Times New Roman" w:eastAsia="Times New Roman" w:hAnsi="Times New Roman" w:cs="Times New Roman"/>
                <w:sz w:val="20"/>
                <w:szCs w:val="20"/>
              </w:rPr>
              <w:t>es</w:t>
            </w:r>
          </w:p>
        </w:tc>
        <w:tc>
          <w:tcPr>
            <w:tcW w:w="1134" w:type="dxa"/>
            <w:tcBorders>
              <w:top w:val="nil"/>
              <w:left w:val="nil"/>
              <w:bottom w:val="single" w:sz="4" w:space="0" w:color="auto"/>
              <w:right w:val="nil"/>
            </w:tcBorders>
            <w:shd w:val="clear" w:color="auto" w:fill="auto"/>
            <w:noWrap/>
            <w:vAlign w:val="bottom"/>
            <w:hideMark/>
          </w:tcPr>
          <w:p w14:paraId="59EDB17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2,2</w:t>
            </w:r>
          </w:p>
        </w:tc>
        <w:tc>
          <w:tcPr>
            <w:tcW w:w="889" w:type="dxa"/>
            <w:tcBorders>
              <w:top w:val="nil"/>
              <w:left w:val="nil"/>
              <w:bottom w:val="single" w:sz="4" w:space="0" w:color="auto"/>
              <w:right w:val="nil"/>
            </w:tcBorders>
            <w:shd w:val="clear" w:color="auto" w:fill="auto"/>
            <w:noWrap/>
            <w:vAlign w:val="bottom"/>
            <w:hideMark/>
          </w:tcPr>
          <w:p w14:paraId="0EBDA48E"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bottom w:val="single" w:sz="4" w:space="0" w:color="auto"/>
              <w:right w:val="nil"/>
            </w:tcBorders>
            <w:shd w:val="clear" w:color="auto" w:fill="auto"/>
            <w:noWrap/>
            <w:vAlign w:val="bottom"/>
            <w:hideMark/>
          </w:tcPr>
          <w:p w14:paraId="1C5EA744"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2,1</w:t>
            </w:r>
          </w:p>
        </w:tc>
        <w:tc>
          <w:tcPr>
            <w:tcW w:w="900" w:type="dxa"/>
            <w:tcBorders>
              <w:top w:val="nil"/>
              <w:left w:val="nil"/>
              <w:bottom w:val="single" w:sz="4" w:space="0" w:color="auto"/>
              <w:right w:val="nil"/>
            </w:tcBorders>
            <w:shd w:val="clear" w:color="auto" w:fill="auto"/>
            <w:noWrap/>
            <w:vAlign w:val="bottom"/>
            <w:hideMark/>
          </w:tcPr>
          <w:p w14:paraId="7643A0B6"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bottom w:val="single" w:sz="4" w:space="0" w:color="auto"/>
              <w:right w:val="nil"/>
            </w:tcBorders>
            <w:shd w:val="clear" w:color="auto" w:fill="auto"/>
            <w:noWrap/>
            <w:vAlign w:val="bottom"/>
            <w:hideMark/>
          </w:tcPr>
          <w:p w14:paraId="1B794B20" w14:textId="77777777" w:rsidR="003045D9" w:rsidRPr="0088141F" w:rsidRDefault="003045D9" w:rsidP="003045D9">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-3,4</w:t>
            </w:r>
          </w:p>
        </w:tc>
      </w:tr>
      <w:tr w:rsidR="0054131D" w:rsidRPr="0088141F" w14:paraId="18817576" w14:textId="77777777" w:rsidTr="00057B3D">
        <w:trPr>
          <w:trHeight w:val="20"/>
        </w:trPr>
        <w:tc>
          <w:tcPr>
            <w:tcW w:w="3828" w:type="dxa"/>
            <w:tcBorders>
              <w:top w:val="nil"/>
              <w:left w:val="nil"/>
              <w:right w:val="nil"/>
            </w:tcBorders>
            <w:shd w:val="clear" w:color="auto" w:fill="auto"/>
            <w:noWrap/>
            <w:vAlign w:val="bottom"/>
          </w:tcPr>
          <w:p w14:paraId="1C0646F3" w14:textId="77777777" w:rsidR="0054131D" w:rsidRPr="0088141F" w:rsidRDefault="00057B3D" w:rsidP="0054131D">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N</w:t>
            </w:r>
            <w:r>
              <w:rPr>
                <w:rFonts w:ascii="Times New Roman" w:eastAsia="Times New Roman" w:hAnsi="Times New Roman" w:cs="Times New Roman"/>
                <w:sz w:val="20"/>
                <w:szCs w:val="20"/>
              </w:rPr>
              <w:t>°</w:t>
            </w:r>
            <w:r w:rsidRPr="0088141F">
              <w:rPr>
                <w:rFonts w:ascii="Times New Roman" w:eastAsia="Times New Roman" w:hAnsi="Times New Roman" w:cs="Times New Roman"/>
                <w:sz w:val="20"/>
                <w:szCs w:val="20"/>
              </w:rPr>
              <w:t>. Estab</w:t>
            </w:r>
            <w:r>
              <w:rPr>
                <w:rFonts w:ascii="Times New Roman" w:eastAsia="Times New Roman" w:hAnsi="Times New Roman" w:cs="Times New Roman"/>
                <w:sz w:val="20"/>
                <w:szCs w:val="20"/>
              </w:rPr>
              <w:t>elecimentos</w:t>
            </w:r>
          </w:p>
        </w:tc>
        <w:tc>
          <w:tcPr>
            <w:tcW w:w="1134" w:type="dxa"/>
            <w:tcBorders>
              <w:top w:val="nil"/>
              <w:left w:val="nil"/>
              <w:right w:val="nil"/>
            </w:tcBorders>
            <w:shd w:val="clear" w:color="auto" w:fill="auto"/>
            <w:noWrap/>
            <w:vAlign w:val="bottom"/>
          </w:tcPr>
          <w:p w14:paraId="37DC9199"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88.188</w:t>
            </w:r>
          </w:p>
        </w:tc>
        <w:tc>
          <w:tcPr>
            <w:tcW w:w="889" w:type="dxa"/>
            <w:tcBorders>
              <w:top w:val="nil"/>
              <w:left w:val="nil"/>
              <w:right w:val="nil"/>
            </w:tcBorders>
            <w:shd w:val="clear" w:color="auto" w:fill="auto"/>
            <w:noWrap/>
            <w:vAlign w:val="bottom"/>
          </w:tcPr>
          <w:p w14:paraId="23CA72B3"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3,8</w:t>
            </w:r>
          </w:p>
        </w:tc>
        <w:tc>
          <w:tcPr>
            <w:tcW w:w="1130" w:type="dxa"/>
            <w:tcBorders>
              <w:top w:val="nil"/>
              <w:left w:val="nil"/>
              <w:right w:val="nil"/>
            </w:tcBorders>
            <w:shd w:val="clear" w:color="auto" w:fill="auto"/>
            <w:noWrap/>
            <w:vAlign w:val="bottom"/>
          </w:tcPr>
          <w:p w14:paraId="289F07E2"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92.338</w:t>
            </w:r>
          </w:p>
        </w:tc>
        <w:tc>
          <w:tcPr>
            <w:tcW w:w="900" w:type="dxa"/>
            <w:tcBorders>
              <w:top w:val="nil"/>
              <w:left w:val="nil"/>
              <w:right w:val="nil"/>
            </w:tcBorders>
            <w:shd w:val="clear" w:color="auto" w:fill="auto"/>
            <w:noWrap/>
            <w:vAlign w:val="bottom"/>
          </w:tcPr>
          <w:p w14:paraId="77FE2E2F"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3,7</w:t>
            </w:r>
          </w:p>
        </w:tc>
        <w:tc>
          <w:tcPr>
            <w:tcW w:w="1214" w:type="dxa"/>
            <w:tcBorders>
              <w:top w:val="nil"/>
              <w:left w:val="nil"/>
              <w:right w:val="nil"/>
            </w:tcBorders>
            <w:shd w:val="clear" w:color="auto" w:fill="auto"/>
            <w:noWrap/>
            <w:vAlign w:val="bottom"/>
          </w:tcPr>
          <w:p w14:paraId="6D3EAD0B"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4,7</w:t>
            </w:r>
          </w:p>
        </w:tc>
      </w:tr>
      <w:tr w:rsidR="00057B3D" w:rsidRPr="0088141F" w14:paraId="50FC1D85" w14:textId="77777777" w:rsidTr="00057B3D">
        <w:trPr>
          <w:trHeight w:val="20"/>
        </w:trPr>
        <w:tc>
          <w:tcPr>
            <w:tcW w:w="3828" w:type="dxa"/>
            <w:tcBorders>
              <w:left w:val="nil"/>
              <w:bottom w:val="nil"/>
              <w:right w:val="nil"/>
            </w:tcBorders>
            <w:shd w:val="clear" w:color="auto" w:fill="auto"/>
            <w:noWrap/>
            <w:vAlign w:val="bottom"/>
          </w:tcPr>
          <w:p w14:paraId="3983EA16" w14:textId="77777777" w:rsidR="00057B3D" w:rsidRPr="0088141F" w:rsidRDefault="00057B3D" w:rsidP="00057B3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 de</w:t>
            </w:r>
            <w:r w:rsidRPr="008814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Cabeças de </w:t>
            </w:r>
            <w:r w:rsidRPr="0088141F">
              <w:rPr>
                <w:rFonts w:ascii="Times New Roman" w:eastAsia="Times New Roman" w:hAnsi="Times New Roman" w:cs="Times New Roman"/>
                <w:sz w:val="20"/>
                <w:szCs w:val="20"/>
              </w:rPr>
              <w:t>Bovino</w:t>
            </w:r>
          </w:p>
        </w:tc>
        <w:tc>
          <w:tcPr>
            <w:tcW w:w="1134" w:type="dxa"/>
            <w:tcBorders>
              <w:left w:val="nil"/>
              <w:bottom w:val="nil"/>
              <w:right w:val="nil"/>
            </w:tcBorders>
            <w:shd w:val="clear" w:color="auto" w:fill="auto"/>
            <w:noWrap/>
            <w:vAlign w:val="bottom"/>
          </w:tcPr>
          <w:p w14:paraId="14B82D01" w14:textId="77777777" w:rsidR="00057B3D" w:rsidRPr="0088141F" w:rsidRDefault="00057B3D" w:rsidP="00D14517">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20.666.147</w:t>
            </w:r>
          </w:p>
        </w:tc>
        <w:tc>
          <w:tcPr>
            <w:tcW w:w="889" w:type="dxa"/>
            <w:tcBorders>
              <w:left w:val="nil"/>
              <w:bottom w:val="nil"/>
              <w:right w:val="nil"/>
            </w:tcBorders>
            <w:shd w:val="clear" w:color="auto" w:fill="auto"/>
            <w:noWrap/>
            <w:vAlign w:val="bottom"/>
          </w:tcPr>
          <w:p w14:paraId="78A33F20" w14:textId="77777777" w:rsidR="00057B3D" w:rsidRPr="0088141F" w:rsidRDefault="00057B3D" w:rsidP="00D14517">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11,7</w:t>
            </w:r>
          </w:p>
        </w:tc>
        <w:tc>
          <w:tcPr>
            <w:tcW w:w="1130" w:type="dxa"/>
            <w:tcBorders>
              <w:left w:val="nil"/>
              <w:bottom w:val="nil"/>
              <w:right w:val="nil"/>
            </w:tcBorders>
            <w:shd w:val="clear" w:color="auto" w:fill="auto"/>
            <w:noWrap/>
            <w:vAlign w:val="bottom"/>
          </w:tcPr>
          <w:p w14:paraId="29B99E92" w14:textId="77777777" w:rsidR="00057B3D" w:rsidRPr="0088141F" w:rsidRDefault="00057B3D" w:rsidP="00D14517">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24.309.475</w:t>
            </w:r>
          </w:p>
        </w:tc>
        <w:tc>
          <w:tcPr>
            <w:tcW w:w="900" w:type="dxa"/>
            <w:tcBorders>
              <w:left w:val="nil"/>
              <w:bottom w:val="nil"/>
              <w:right w:val="nil"/>
            </w:tcBorders>
            <w:shd w:val="clear" w:color="auto" w:fill="auto"/>
            <w:noWrap/>
            <w:vAlign w:val="bottom"/>
          </w:tcPr>
          <w:p w14:paraId="510508E6" w14:textId="77777777" w:rsidR="00057B3D" w:rsidRPr="0088141F" w:rsidRDefault="00057B3D" w:rsidP="00D14517">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14,1</w:t>
            </w:r>
          </w:p>
        </w:tc>
        <w:tc>
          <w:tcPr>
            <w:tcW w:w="1214" w:type="dxa"/>
            <w:tcBorders>
              <w:left w:val="nil"/>
              <w:bottom w:val="nil"/>
              <w:right w:val="nil"/>
            </w:tcBorders>
            <w:shd w:val="clear" w:color="auto" w:fill="auto"/>
            <w:noWrap/>
            <w:vAlign w:val="bottom"/>
          </w:tcPr>
          <w:p w14:paraId="493352CB" w14:textId="77777777" w:rsidR="00057B3D" w:rsidRPr="0088141F" w:rsidRDefault="00057B3D" w:rsidP="00D14517">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17,6</w:t>
            </w:r>
          </w:p>
        </w:tc>
      </w:tr>
      <w:tr w:rsidR="0054131D" w:rsidRPr="0088141F" w14:paraId="287139C7" w14:textId="77777777" w:rsidTr="00E679EE">
        <w:trPr>
          <w:trHeight w:val="20"/>
        </w:trPr>
        <w:tc>
          <w:tcPr>
            <w:tcW w:w="3828" w:type="dxa"/>
            <w:tcBorders>
              <w:top w:val="nil"/>
              <w:left w:val="nil"/>
              <w:right w:val="nil"/>
            </w:tcBorders>
            <w:shd w:val="clear" w:color="auto" w:fill="auto"/>
            <w:noWrap/>
            <w:vAlign w:val="bottom"/>
          </w:tcPr>
          <w:p w14:paraId="7305671B" w14:textId="77777777" w:rsidR="0054131D" w:rsidRPr="0088141F" w:rsidRDefault="0054131D" w:rsidP="00057B3D">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Bov</w:t>
            </w:r>
            <w:r w:rsidR="00057B3D">
              <w:rPr>
                <w:rFonts w:ascii="Times New Roman" w:eastAsia="Times New Roman" w:hAnsi="Times New Roman" w:cs="Times New Roman"/>
                <w:sz w:val="20"/>
                <w:szCs w:val="20"/>
              </w:rPr>
              <w:t>ino</w:t>
            </w:r>
            <w:r w:rsidRPr="0088141F">
              <w:rPr>
                <w:rFonts w:ascii="Times New Roman" w:eastAsia="Times New Roman" w:hAnsi="Times New Roman" w:cs="Times New Roman"/>
                <w:sz w:val="20"/>
                <w:szCs w:val="20"/>
              </w:rPr>
              <w:t>/Estabelecimento</w:t>
            </w:r>
          </w:p>
        </w:tc>
        <w:tc>
          <w:tcPr>
            <w:tcW w:w="1134" w:type="dxa"/>
            <w:tcBorders>
              <w:top w:val="nil"/>
              <w:left w:val="nil"/>
              <w:right w:val="nil"/>
            </w:tcBorders>
            <w:shd w:val="clear" w:color="auto" w:fill="auto"/>
            <w:noWrap/>
            <w:vAlign w:val="bottom"/>
          </w:tcPr>
          <w:p w14:paraId="31517750"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234,3</w:t>
            </w:r>
          </w:p>
        </w:tc>
        <w:tc>
          <w:tcPr>
            <w:tcW w:w="889" w:type="dxa"/>
            <w:tcBorders>
              <w:top w:val="nil"/>
              <w:left w:val="nil"/>
              <w:right w:val="nil"/>
            </w:tcBorders>
            <w:shd w:val="clear" w:color="auto" w:fill="auto"/>
            <w:noWrap/>
            <w:vAlign w:val="bottom"/>
          </w:tcPr>
          <w:p w14:paraId="1D5AFF52"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top w:val="nil"/>
              <w:left w:val="nil"/>
              <w:right w:val="nil"/>
            </w:tcBorders>
            <w:shd w:val="clear" w:color="auto" w:fill="auto"/>
            <w:noWrap/>
            <w:vAlign w:val="bottom"/>
          </w:tcPr>
          <w:p w14:paraId="4701BCAA"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263,3</w:t>
            </w:r>
          </w:p>
        </w:tc>
        <w:tc>
          <w:tcPr>
            <w:tcW w:w="900" w:type="dxa"/>
            <w:tcBorders>
              <w:top w:val="nil"/>
              <w:left w:val="nil"/>
              <w:right w:val="nil"/>
            </w:tcBorders>
            <w:shd w:val="clear" w:color="auto" w:fill="auto"/>
            <w:noWrap/>
            <w:vAlign w:val="bottom"/>
          </w:tcPr>
          <w:p w14:paraId="28AF915D"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top w:val="nil"/>
              <w:left w:val="nil"/>
              <w:right w:val="nil"/>
            </w:tcBorders>
            <w:shd w:val="clear" w:color="auto" w:fill="auto"/>
            <w:noWrap/>
            <w:vAlign w:val="bottom"/>
          </w:tcPr>
          <w:p w14:paraId="72685AD3"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12,3</w:t>
            </w:r>
          </w:p>
        </w:tc>
      </w:tr>
      <w:tr w:rsidR="0054131D" w:rsidRPr="0088141F" w14:paraId="4FE81836" w14:textId="77777777" w:rsidTr="00E679EE">
        <w:trPr>
          <w:trHeight w:val="20"/>
        </w:trPr>
        <w:tc>
          <w:tcPr>
            <w:tcW w:w="3828" w:type="dxa"/>
            <w:tcBorders>
              <w:left w:val="nil"/>
              <w:bottom w:val="single" w:sz="4" w:space="0" w:color="auto"/>
              <w:right w:val="nil"/>
            </w:tcBorders>
            <w:shd w:val="clear" w:color="auto" w:fill="auto"/>
            <w:noWrap/>
            <w:vAlign w:val="bottom"/>
          </w:tcPr>
          <w:p w14:paraId="1AC25B24" w14:textId="77777777" w:rsidR="0054131D" w:rsidRPr="0088141F" w:rsidRDefault="0054131D" w:rsidP="0054131D">
            <w:pPr>
              <w:spacing w:after="0" w:line="240" w:lineRule="auto"/>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 xml:space="preserve">    Bovino/Ár. de Pastagem</w:t>
            </w:r>
          </w:p>
        </w:tc>
        <w:tc>
          <w:tcPr>
            <w:tcW w:w="1134" w:type="dxa"/>
            <w:tcBorders>
              <w:left w:val="nil"/>
              <w:bottom w:val="single" w:sz="4" w:space="0" w:color="auto"/>
              <w:right w:val="nil"/>
            </w:tcBorders>
            <w:shd w:val="clear" w:color="auto" w:fill="auto"/>
            <w:noWrap/>
            <w:vAlign w:val="bottom"/>
          </w:tcPr>
          <w:p w14:paraId="2D2F315F"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0,9</w:t>
            </w:r>
          </w:p>
        </w:tc>
        <w:tc>
          <w:tcPr>
            <w:tcW w:w="889" w:type="dxa"/>
            <w:tcBorders>
              <w:left w:val="nil"/>
              <w:bottom w:val="single" w:sz="4" w:space="0" w:color="auto"/>
              <w:right w:val="nil"/>
            </w:tcBorders>
            <w:shd w:val="clear" w:color="auto" w:fill="auto"/>
            <w:noWrap/>
            <w:vAlign w:val="bottom"/>
          </w:tcPr>
          <w:p w14:paraId="0685D352"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130" w:type="dxa"/>
            <w:tcBorders>
              <w:left w:val="nil"/>
              <w:bottom w:val="single" w:sz="4" w:space="0" w:color="auto"/>
              <w:right w:val="nil"/>
            </w:tcBorders>
            <w:shd w:val="clear" w:color="auto" w:fill="auto"/>
            <w:noWrap/>
            <w:vAlign w:val="bottom"/>
          </w:tcPr>
          <w:p w14:paraId="5708A10B"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1,1</w:t>
            </w:r>
          </w:p>
        </w:tc>
        <w:tc>
          <w:tcPr>
            <w:tcW w:w="900" w:type="dxa"/>
            <w:tcBorders>
              <w:left w:val="nil"/>
              <w:bottom w:val="single" w:sz="4" w:space="0" w:color="auto"/>
              <w:right w:val="nil"/>
            </w:tcBorders>
            <w:shd w:val="clear" w:color="auto" w:fill="auto"/>
            <w:noWrap/>
            <w:vAlign w:val="bottom"/>
          </w:tcPr>
          <w:p w14:paraId="0116FBF1"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w:t>
            </w:r>
          </w:p>
        </w:tc>
        <w:tc>
          <w:tcPr>
            <w:tcW w:w="1214" w:type="dxa"/>
            <w:tcBorders>
              <w:left w:val="nil"/>
              <w:bottom w:val="single" w:sz="4" w:space="0" w:color="auto"/>
              <w:right w:val="nil"/>
            </w:tcBorders>
            <w:shd w:val="clear" w:color="auto" w:fill="auto"/>
            <w:noWrap/>
            <w:vAlign w:val="bottom"/>
          </w:tcPr>
          <w:p w14:paraId="69CBF0F7" w14:textId="77777777" w:rsidR="0054131D" w:rsidRPr="0088141F" w:rsidRDefault="0054131D" w:rsidP="0054131D">
            <w:pPr>
              <w:spacing w:after="0" w:line="240" w:lineRule="auto"/>
              <w:jc w:val="center"/>
              <w:rPr>
                <w:rFonts w:ascii="Times New Roman" w:eastAsia="Times New Roman" w:hAnsi="Times New Roman" w:cs="Times New Roman"/>
                <w:sz w:val="20"/>
                <w:szCs w:val="20"/>
              </w:rPr>
            </w:pPr>
            <w:r w:rsidRPr="0088141F">
              <w:rPr>
                <w:rFonts w:ascii="Times New Roman" w:eastAsia="Times New Roman" w:hAnsi="Times New Roman" w:cs="Times New Roman"/>
                <w:sz w:val="20"/>
                <w:szCs w:val="20"/>
              </w:rPr>
              <w:t>12,8</w:t>
            </w:r>
          </w:p>
        </w:tc>
      </w:tr>
    </w:tbl>
    <w:p w14:paraId="15F5A4D0" w14:textId="77777777" w:rsidR="003045D9" w:rsidRPr="0088141F" w:rsidRDefault="003045D9" w:rsidP="003045D9">
      <w:pPr>
        <w:spacing w:after="0" w:line="240" w:lineRule="auto"/>
        <w:jc w:val="both"/>
        <w:rPr>
          <w:rFonts w:ascii="Times New Roman" w:hAnsi="Times New Roman" w:cs="Times New Roman"/>
        </w:rPr>
      </w:pPr>
      <w:r w:rsidRPr="0088141F">
        <w:rPr>
          <w:rFonts w:ascii="Times New Roman" w:hAnsi="Times New Roman" w:cs="Times New Roman"/>
          <w:b/>
        </w:rPr>
        <w:t>Fonte:</w:t>
      </w:r>
      <w:r w:rsidRPr="0088141F">
        <w:rPr>
          <w:rFonts w:ascii="Times New Roman" w:hAnsi="Times New Roman" w:cs="Times New Roman"/>
        </w:rPr>
        <w:t xml:space="preserve"> IBGE. Censo Agropecuário (2006; 2017).</w:t>
      </w:r>
    </w:p>
    <w:p w14:paraId="0BC08733" w14:textId="77777777" w:rsidR="003412F5" w:rsidRDefault="00E679EE" w:rsidP="003412F5">
      <w:pPr>
        <w:spacing w:line="240" w:lineRule="auto"/>
        <w:jc w:val="both"/>
        <w:rPr>
          <w:rFonts w:ascii="Times New Roman" w:hAnsi="Times New Roman" w:cs="Times New Roman"/>
          <w:sz w:val="20"/>
          <w:szCs w:val="20"/>
        </w:rPr>
      </w:pPr>
      <w:r w:rsidRPr="00E679EE">
        <w:rPr>
          <w:rFonts w:ascii="Times New Roman" w:hAnsi="Times New Roman" w:cs="Times New Roman"/>
          <w:sz w:val="20"/>
          <w:szCs w:val="20"/>
        </w:rPr>
        <w:t xml:space="preserve">Nota: (a) No Censo Agropecuário de 2006 os estabelecimentos que </w:t>
      </w:r>
      <w:r>
        <w:rPr>
          <w:rFonts w:ascii="Times New Roman" w:hAnsi="Times New Roman" w:cs="Times New Roman"/>
          <w:sz w:val="20"/>
          <w:szCs w:val="20"/>
        </w:rPr>
        <w:t>“</w:t>
      </w:r>
      <w:r w:rsidRPr="00E679EE">
        <w:rPr>
          <w:rFonts w:ascii="Times New Roman" w:hAnsi="Times New Roman" w:cs="Times New Roman"/>
          <w:sz w:val="20"/>
          <w:szCs w:val="20"/>
        </w:rPr>
        <w:t>utilizam agrotóxicos, mas não precisaram</w:t>
      </w:r>
      <w:r>
        <w:rPr>
          <w:rFonts w:ascii="Times New Roman" w:hAnsi="Times New Roman" w:cs="Times New Roman"/>
          <w:sz w:val="20"/>
          <w:szCs w:val="20"/>
        </w:rPr>
        <w:t xml:space="preserve">” </w:t>
      </w:r>
      <w:r w:rsidRPr="00E679EE">
        <w:rPr>
          <w:rFonts w:ascii="Times New Roman" w:hAnsi="Times New Roman" w:cs="Times New Roman"/>
          <w:sz w:val="20"/>
          <w:szCs w:val="20"/>
        </w:rPr>
        <w:t xml:space="preserve">são computados independentes. Já no Censo de 2017, esse grupo faz parte dos estabelecimentos que </w:t>
      </w:r>
      <w:r>
        <w:rPr>
          <w:rFonts w:ascii="Times New Roman" w:hAnsi="Times New Roman" w:cs="Times New Roman"/>
          <w:sz w:val="20"/>
          <w:szCs w:val="20"/>
        </w:rPr>
        <w:t>“</w:t>
      </w:r>
      <w:r w:rsidRPr="00E679EE">
        <w:rPr>
          <w:rFonts w:ascii="Times New Roman" w:hAnsi="Times New Roman" w:cs="Times New Roman"/>
          <w:sz w:val="20"/>
          <w:szCs w:val="20"/>
        </w:rPr>
        <w:t>não utilizam</w:t>
      </w:r>
      <w:r>
        <w:rPr>
          <w:rFonts w:ascii="Times New Roman" w:hAnsi="Times New Roman" w:cs="Times New Roman"/>
          <w:sz w:val="20"/>
          <w:szCs w:val="20"/>
        </w:rPr>
        <w:t>”</w:t>
      </w:r>
      <w:r w:rsidRPr="00E679EE">
        <w:rPr>
          <w:rFonts w:ascii="Times New Roman" w:hAnsi="Times New Roman" w:cs="Times New Roman"/>
          <w:sz w:val="20"/>
          <w:szCs w:val="20"/>
        </w:rPr>
        <w:t xml:space="preserve"> agrotóxicos.</w:t>
      </w:r>
      <w:r w:rsidR="003412F5">
        <w:rPr>
          <w:rFonts w:ascii="Times New Roman" w:hAnsi="Times New Roman" w:cs="Times New Roman"/>
          <w:sz w:val="20"/>
          <w:szCs w:val="20"/>
        </w:rPr>
        <w:br w:type="page"/>
      </w:r>
    </w:p>
    <w:p w14:paraId="740F5583" w14:textId="77777777" w:rsidR="00977B76" w:rsidRPr="0088141F" w:rsidRDefault="007B0CCB"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lastRenderedPageBreak/>
        <w:t>O aumento do uso de máquinas superior ao incremento de área, c</w:t>
      </w:r>
      <w:r w:rsidR="00977B76" w:rsidRPr="0088141F">
        <w:rPr>
          <w:rFonts w:ascii="Times New Roman" w:hAnsi="Times New Roman" w:cs="Times New Roman"/>
          <w:sz w:val="24"/>
          <w:szCs w:val="24"/>
        </w:rPr>
        <w:t xml:space="preserve">orrobora </w:t>
      </w:r>
      <w:r w:rsidRPr="0088141F">
        <w:rPr>
          <w:rFonts w:ascii="Times New Roman" w:hAnsi="Times New Roman" w:cs="Times New Roman"/>
          <w:sz w:val="24"/>
          <w:szCs w:val="24"/>
        </w:rPr>
        <w:t xml:space="preserve">os </w:t>
      </w:r>
      <w:r w:rsidR="00977B76" w:rsidRPr="0088141F">
        <w:rPr>
          <w:rFonts w:ascii="Times New Roman" w:hAnsi="Times New Roman" w:cs="Times New Roman"/>
          <w:sz w:val="24"/>
          <w:szCs w:val="24"/>
        </w:rPr>
        <w:t xml:space="preserve">comentários </w:t>
      </w:r>
      <w:r w:rsidRPr="0088141F">
        <w:rPr>
          <w:rFonts w:ascii="Times New Roman" w:hAnsi="Times New Roman" w:cs="Times New Roman"/>
          <w:sz w:val="24"/>
          <w:szCs w:val="24"/>
        </w:rPr>
        <w:t xml:space="preserve">anteriores, </w:t>
      </w:r>
      <w:r w:rsidR="00977B76" w:rsidRPr="0088141F">
        <w:rPr>
          <w:rFonts w:ascii="Times New Roman" w:hAnsi="Times New Roman" w:cs="Times New Roman"/>
          <w:sz w:val="24"/>
          <w:szCs w:val="24"/>
        </w:rPr>
        <w:t xml:space="preserve">de forma que nos indicadores de tecnificação houve uma redução na relação entre a área total por máquinas/equipamento. A presença de </w:t>
      </w:r>
      <w:proofErr w:type="spellStart"/>
      <w:r w:rsidR="00977B76" w:rsidRPr="0088141F">
        <w:rPr>
          <w:rFonts w:ascii="Times New Roman" w:hAnsi="Times New Roman" w:cs="Times New Roman"/>
          <w:sz w:val="24"/>
          <w:szCs w:val="24"/>
        </w:rPr>
        <w:t>adubadeiras</w:t>
      </w:r>
      <w:proofErr w:type="spellEnd"/>
      <w:r w:rsidR="00977B76" w:rsidRPr="0088141F">
        <w:rPr>
          <w:rFonts w:ascii="Times New Roman" w:hAnsi="Times New Roman" w:cs="Times New Roman"/>
          <w:sz w:val="24"/>
          <w:szCs w:val="24"/>
        </w:rPr>
        <w:t xml:space="preserve"> e/ou distribuidoras de calcário foi o que apresentou maior aumento (10</w:t>
      </w:r>
      <w:r w:rsidRPr="0088141F">
        <w:rPr>
          <w:rFonts w:ascii="Times New Roman" w:hAnsi="Times New Roman" w:cs="Times New Roman"/>
          <w:sz w:val="24"/>
          <w:szCs w:val="24"/>
        </w:rPr>
        <w:t>3</w:t>
      </w:r>
      <w:r w:rsidR="00977B76" w:rsidRPr="0088141F">
        <w:rPr>
          <w:rFonts w:ascii="Times New Roman" w:hAnsi="Times New Roman" w:cs="Times New Roman"/>
          <w:sz w:val="24"/>
          <w:szCs w:val="24"/>
        </w:rPr>
        <w:t>,</w:t>
      </w:r>
      <w:r w:rsidRPr="0088141F">
        <w:rPr>
          <w:rFonts w:ascii="Times New Roman" w:hAnsi="Times New Roman" w:cs="Times New Roman"/>
          <w:sz w:val="24"/>
          <w:szCs w:val="24"/>
        </w:rPr>
        <w:t>2</w:t>
      </w:r>
      <w:r w:rsidR="00977B76" w:rsidRPr="0088141F">
        <w:rPr>
          <w:rFonts w:ascii="Times New Roman" w:hAnsi="Times New Roman" w:cs="Times New Roman"/>
          <w:sz w:val="24"/>
          <w:szCs w:val="24"/>
        </w:rPr>
        <w:t>%), seguido de colheitadeiras (74,</w:t>
      </w:r>
      <w:r w:rsidRPr="0088141F">
        <w:rPr>
          <w:rFonts w:ascii="Times New Roman" w:hAnsi="Times New Roman" w:cs="Times New Roman"/>
          <w:sz w:val="24"/>
          <w:szCs w:val="24"/>
        </w:rPr>
        <w:t>8</w:t>
      </w:r>
      <w:r w:rsidR="00977B76" w:rsidRPr="0088141F">
        <w:rPr>
          <w:rFonts w:ascii="Times New Roman" w:hAnsi="Times New Roman" w:cs="Times New Roman"/>
          <w:sz w:val="24"/>
          <w:szCs w:val="24"/>
        </w:rPr>
        <w:t>%), tratores (6</w:t>
      </w:r>
      <w:r w:rsidRPr="0088141F">
        <w:rPr>
          <w:rFonts w:ascii="Times New Roman" w:hAnsi="Times New Roman" w:cs="Times New Roman"/>
          <w:sz w:val="24"/>
          <w:szCs w:val="24"/>
        </w:rPr>
        <w:t>2</w:t>
      </w:r>
      <w:r w:rsidR="00977B76" w:rsidRPr="0088141F">
        <w:rPr>
          <w:rFonts w:ascii="Times New Roman" w:hAnsi="Times New Roman" w:cs="Times New Roman"/>
          <w:sz w:val="24"/>
          <w:szCs w:val="24"/>
        </w:rPr>
        <w:t>,</w:t>
      </w:r>
      <w:r w:rsidRPr="0088141F">
        <w:rPr>
          <w:rFonts w:ascii="Times New Roman" w:hAnsi="Times New Roman" w:cs="Times New Roman"/>
          <w:sz w:val="24"/>
          <w:szCs w:val="24"/>
        </w:rPr>
        <w:t>4</w:t>
      </w:r>
      <w:r w:rsidR="00977B76" w:rsidRPr="0088141F">
        <w:rPr>
          <w:rFonts w:ascii="Times New Roman" w:hAnsi="Times New Roman" w:cs="Times New Roman"/>
          <w:sz w:val="24"/>
          <w:szCs w:val="24"/>
        </w:rPr>
        <w:t>%) e semeadeiras/plantadeiras (3</w:t>
      </w:r>
      <w:r w:rsidRPr="0088141F">
        <w:rPr>
          <w:rFonts w:ascii="Times New Roman" w:hAnsi="Times New Roman" w:cs="Times New Roman"/>
          <w:sz w:val="24"/>
          <w:szCs w:val="24"/>
        </w:rPr>
        <w:t>9</w:t>
      </w:r>
      <w:r w:rsidR="00977B76" w:rsidRPr="0088141F">
        <w:rPr>
          <w:rFonts w:ascii="Times New Roman" w:hAnsi="Times New Roman" w:cs="Times New Roman"/>
          <w:sz w:val="24"/>
          <w:szCs w:val="24"/>
        </w:rPr>
        <w:t>,</w:t>
      </w:r>
      <w:r w:rsidRPr="0088141F">
        <w:rPr>
          <w:rFonts w:ascii="Times New Roman" w:hAnsi="Times New Roman" w:cs="Times New Roman"/>
          <w:sz w:val="24"/>
          <w:szCs w:val="24"/>
        </w:rPr>
        <w:t>0</w:t>
      </w:r>
      <w:r w:rsidR="00977B76" w:rsidRPr="0088141F">
        <w:rPr>
          <w:rFonts w:ascii="Times New Roman" w:hAnsi="Times New Roman" w:cs="Times New Roman"/>
          <w:sz w:val="24"/>
          <w:szCs w:val="24"/>
        </w:rPr>
        <w:t>%).</w:t>
      </w:r>
      <w:r w:rsidR="00884EC7" w:rsidRPr="0088141F">
        <w:rPr>
          <w:rFonts w:ascii="Times New Roman" w:hAnsi="Times New Roman" w:cs="Times New Roman"/>
          <w:sz w:val="24"/>
          <w:szCs w:val="24"/>
        </w:rPr>
        <w:t xml:space="preserve"> </w:t>
      </w:r>
    </w:p>
    <w:p w14:paraId="0B508651" w14:textId="092EE915"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O fato de Mato Grosso apresenta</w:t>
      </w:r>
      <w:r w:rsidR="00884EC7" w:rsidRPr="0088141F">
        <w:rPr>
          <w:rFonts w:ascii="Times New Roman" w:hAnsi="Times New Roman" w:cs="Times New Roman"/>
          <w:sz w:val="24"/>
          <w:szCs w:val="24"/>
        </w:rPr>
        <w:t>r</w:t>
      </w:r>
      <w:r w:rsidRPr="0088141F">
        <w:rPr>
          <w:rFonts w:ascii="Times New Roman" w:hAnsi="Times New Roman" w:cs="Times New Roman"/>
          <w:sz w:val="24"/>
          <w:szCs w:val="24"/>
        </w:rPr>
        <w:t xml:space="preserve"> uma relação de área/trator (77</w:t>
      </w:r>
      <w:r w:rsidR="007B0CCB" w:rsidRPr="0088141F">
        <w:rPr>
          <w:rFonts w:ascii="Times New Roman" w:hAnsi="Times New Roman" w:cs="Times New Roman"/>
          <w:sz w:val="24"/>
          <w:szCs w:val="24"/>
        </w:rPr>
        <w:t>2</w:t>
      </w:r>
      <w:r w:rsidRPr="0088141F">
        <w:rPr>
          <w:rFonts w:ascii="Times New Roman" w:hAnsi="Times New Roman" w:cs="Times New Roman"/>
          <w:sz w:val="24"/>
          <w:szCs w:val="24"/>
        </w:rPr>
        <w:t xml:space="preserve">,1 hectares) </w:t>
      </w:r>
      <w:r w:rsidR="00884EC7" w:rsidRPr="0088141F">
        <w:rPr>
          <w:rFonts w:ascii="Times New Roman" w:hAnsi="Times New Roman" w:cs="Times New Roman"/>
          <w:sz w:val="24"/>
          <w:szCs w:val="24"/>
        </w:rPr>
        <w:t xml:space="preserve">e número de estabelecimentos com trator (25,2%), </w:t>
      </w:r>
      <w:r w:rsidRPr="0088141F">
        <w:rPr>
          <w:rFonts w:ascii="Times New Roman" w:hAnsi="Times New Roman" w:cs="Times New Roman"/>
          <w:sz w:val="24"/>
          <w:szCs w:val="24"/>
        </w:rPr>
        <w:t>maior</w:t>
      </w:r>
      <w:r w:rsidR="00884EC7" w:rsidRPr="0088141F">
        <w:rPr>
          <w:rFonts w:ascii="Times New Roman" w:hAnsi="Times New Roman" w:cs="Times New Roman"/>
          <w:sz w:val="24"/>
          <w:szCs w:val="24"/>
        </w:rPr>
        <w:t>es</w:t>
      </w:r>
      <w:r w:rsidRPr="0088141F">
        <w:rPr>
          <w:rFonts w:ascii="Times New Roman" w:hAnsi="Times New Roman" w:cs="Times New Roman"/>
          <w:sz w:val="24"/>
          <w:szCs w:val="24"/>
        </w:rPr>
        <w:t xml:space="preserve"> do que a média nacional (285</w:t>
      </w:r>
      <w:r w:rsidR="007B0CCB" w:rsidRPr="0088141F">
        <w:rPr>
          <w:rFonts w:ascii="Times New Roman" w:hAnsi="Times New Roman" w:cs="Times New Roman"/>
          <w:sz w:val="24"/>
          <w:szCs w:val="24"/>
        </w:rPr>
        <w:t>,6</w:t>
      </w:r>
      <w:r w:rsidRPr="0088141F">
        <w:rPr>
          <w:rFonts w:ascii="Times New Roman" w:hAnsi="Times New Roman" w:cs="Times New Roman"/>
          <w:sz w:val="24"/>
          <w:szCs w:val="24"/>
        </w:rPr>
        <w:t xml:space="preserve"> hectares</w:t>
      </w:r>
      <w:r w:rsidR="00884EC7" w:rsidRPr="0088141F">
        <w:rPr>
          <w:rFonts w:ascii="Times New Roman" w:hAnsi="Times New Roman" w:cs="Times New Roman"/>
          <w:sz w:val="24"/>
          <w:szCs w:val="24"/>
        </w:rPr>
        <w:t xml:space="preserve"> e 14,5%, respectivamente</w:t>
      </w:r>
      <w:r w:rsidRPr="0088141F">
        <w:rPr>
          <w:rFonts w:ascii="Times New Roman" w:hAnsi="Times New Roman" w:cs="Times New Roman"/>
          <w:sz w:val="24"/>
          <w:szCs w:val="24"/>
        </w:rPr>
        <w:t>), pode ser atribuída às características de relevo e climas locais e à extensão das propriedades, o que possibilita o uso de tratores e implementos de grande porte e de altas potências, os quais, devido à possibilidade de se ter duas safras anuais (soja e milho</w:t>
      </w:r>
      <w:r w:rsidR="00884EC7" w:rsidRPr="0088141F">
        <w:rPr>
          <w:rFonts w:ascii="Times New Roman" w:hAnsi="Times New Roman" w:cs="Times New Roman"/>
          <w:sz w:val="24"/>
          <w:szCs w:val="24"/>
        </w:rPr>
        <w:t>) são mais intensamente usados.</w:t>
      </w:r>
    </w:p>
    <w:p w14:paraId="2B3D917E" w14:textId="77777777" w:rsidR="00977B76" w:rsidRPr="0088141F" w:rsidRDefault="002B14C4"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Nesse sentido, a</w:t>
      </w:r>
      <w:r w:rsidR="00977B76" w:rsidRPr="0088141F">
        <w:rPr>
          <w:rFonts w:ascii="Times New Roman" w:hAnsi="Times New Roman" w:cs="Times New Roman"/>
          <w:sz w:val="24"/>
          <w:szCs w:val="24"/>
        </w:rPr>
        <w:t xml:space="preserve"> mecanização tem sido facilitada pela participação estadual nas operações de crédito, através de bancos públicos e privados, em programas subsidiados pela Política Agrícola. Na linha de financiamento para investimento agrícola, as liberações para o programa </w:t>
      </w:r>
      <w:proofErr w:type="spellStart"/>
      <w:r w:rsidR="00977B76" w:rsidRPr="0088141F">
        <w:rPr>
          <w:rFonts w:ascii="Times New Roman" w:hAnsi="Times New Roman" w:cs="Times New Roman"/>
          <w:sz w:val="24"/>
          <w:szCs w:val="24"/>
        </w:rPr>
        <w:t>Moderfrota</w:t>
      </w:r>
      <w:proofErr w:type="spellEnd"/>
      <w:r w:rsidR="00977B76" w:rsidRPr="0088141F">
        <w:rPr>
          <w:rFonts w:ascii="Times New Roman" w:hAnsi="Times New Roman" w:cs="Times New Roman"/>
          <w:sz w:val="24"/>
          <w:szCs w:val="24"/>
          <w:vertAlign w:val="superscript"/>
        </w:rPr>
        <w:footnoteReference w:id="11"/>
      </w:r>
      <w:r w:rsidR="00977B76" w:rsidRPr="0088141F">
        <w:rPr>
          <w:rFonts w:ascii="Times New Roman" w:hAnsi="Times New Roman" w:cs="Times New Roman"/>
          <w:sz w:val="24"/>
          <w:szCs w:val="24"/>
        </w:rPr>
        <w:t xml:space="preserve">, </w:t>
      </w:r>
      <w:r w:rsidR="007B0CCB" w:rsidRPr="0088141F">
        <w:rPr>
          <w:rFonts w:ascii="Times New Roman" w:hAnsi="Times New Roman" w:cs="Times New Roman"/>
          <w:sz w:val="24"/>
          <w:szCs w:val="24"/>
        </w:rPr>
        <w:t xml:space="preserve">por exemplo, </w:t>
      </w:r>
      <w:r w:rsidR="00977B76" w:rsidRPr="0088141F">
        <w:rPr>
          <w:rFonts w:ascii="Times New Roman" w:hAnsi="Times New Roman" w:cs="Times New Roman"/>
          <w:sz w:val="24"/>
          <w:szCs w:val="24"/>
        </w:rPr>
        <w:t xml:space="preserve">no período de 2006 a 2017, o estado </w:t>
      </w:r>
      <w:r w:rsidR="00516EE1" w:rsidRPr="0088141F">
        <w:rPr>
          <w:rFonts w:ascii="Times New Roman" w:hAnsi="Times New Roman" w:cs="Times New Roman"/>
          <w:sz w:val="24"/>
          <w:szCs w:val="24"/>
        </w:rPr>
        <w:t xml:space="preserve">teve uma participação </w:t>
      </w:r>
      <w:r w:rsidR="00977B76" w:rsidRPr="0088141F">
        <w:rPr>
          <w:rFonts w:ascii="Times New Roman" w:hAnsi="Times New Roman" w:cs="Times New Roman"/>
          <w:sz w:val="24"/>
          <w:szCs w:val="24"/>
        </w:rPr>
        <w:t>média</w:t>
      </w:r>
      <w:r w:rsidR="00516EE1" w:rsidRPr="0088141F">
        <w:rPr>
          <w:rFonts w:ascii="Times New Roman" w:hAnsi="Times New Roman" w:cs="Times New Roman"/>
          <w:sz w:val="24"/>
          <w:szCs w:val="24"/>
        </w:rPr>
        <w:t xml:space="preserve"> de 6</w:t>
      </w:r>
      <w:r w:rsidR="00977B76" w:rsidRPr="0088141F">
        <w:rPr>
          <w:rFonts w:ascii="Times New Roman" w:hAnsi="Times New Roman" w:cs="Times New Roman"/>
          <w:sz w:val="24"/>
          <w:szCs w:val="24"/>
        </w:rPr>
        <w:t>,</w:t>
      </w:r>
      <w:r w:rsidR="00516EE1" w:rsidRPr="0088141F">
        <w:rPr>
          <w:rFonts w:ascii="Times New Roman" w:hAnsi="Times New Roman" w:cs="Times New Roman"/>
          <w:sz w:val="24"/>
          <w:szCs w:val="24"/>
        </w:rPr>
        <w:t>4</w:t>
      </w:r>
      <w:r w:rsidR="00977B76" w:rsidRPr="0088141F">
        <w:rPr>
          <w:rFonts w:ascii="Times New Roman" w:hAnsi="Times New Roman" w:cs="Times New Roman"/>
          <w:sz w:val="24"/>
          <w:szCs w:val="24"/>
        </w:rPr>
        <w:t xml:space="preserve">% no número de contratos e com </w:t>
      </w:r>
      <w:r w:rsidR="00516EE1" w:rsidRPr="0088141F">
        <w:rPr>
          <w:rFonts w:ascii="Times New Roman" w:hAnsi="Times New Roman" w:cs="Times New Roman"/>
          <w:sz w:val="24"/>
          <w:szCs w:val="24"/>
        </w:rPr>
        <w:t>17,1</w:t>
      </w:r>
      <w:r w:rsidR="00977B76" w:rsidRPr="0088141F">
        <w:rPr>
          <w:rFonts w:ascii="Times New Roman" w:hAnsi="Times New Roman" w:cs="Times New Roman"/>
          <w:sz w:val="24"/>
          <w:szCs w:val="24"/>
        </w:rPr>
        <w:t>% no valor das operações contratadas (B</w:t>
      </w:r>
      <w:r w:rsidR="00516EE1" w:rsidRPr="0088141F">
        <w:rPr>
          <w:rFonts w:ascii="Times New Roman" w:hAnsi="Times New Roman" w:cs="Times New Roman"/>
          <w:sz w:val="24"/>
          <w:szCs w:val="24"/>
        </w:rPr>
        <w:t>NDES</w:t>
      </w:r>
      <w:r w:rsidR="00977B76" w:rsidRPr="0088141F">
        <w:rPr>
          <w:rFonts w:ascii="Times New Roman" w:hAnsi="Times New Roman" w:cs="Times New Roman"/>
          <w:sz w:val="24"/>
          <w:szCs w:val="24"/>
        </w:rPr>
        <w:t>, 20</w:t>
      </w:r>
      <w:r w:rsidR="00516EE1" w:rsidRPr="0088141F">
        <w:rPr>
          <w:rFonts w:ascii="Times New Roman" w:hAnsi="Times New Roman" w:cs="Times New Roman"/>
          <w:sz w:val="24"/>
          <w:szCs w:val="24"/>
        </w:rPr>
        <w:t>20</w:t>
      </w:r>
      <w:r w:rsidR="00977B76" w:rsidRPr="0088141F">
        <w:rPr>
          <w:rFonts w:ascii="Times New Roman" w:hAnsi="Times New Roman" w:cs="Times New Roman"/>
          <w:sz w:val="24"/>
          <w:szCs w:val="24"/>
        </w:rPr>
        <w:t>), demonstrando o predomínio de contratos com valores maiores</w:t>
      </w:r>
      <w:r w:rsidR="00BF7396">
        <w:rPr>
          <w:rStyle w:val="Refdenotaderodap"/>
          <w:rFonts w:ascii="Times New Roman" w:hAnsi="Times New Roman" w:cs="Times New Roman"/>
          <w:sz w:val="24"/>
          <w:szCs w:val="24"/>
        </w:rPr>
        <w:footnoteReference w:id="12"/>
      </w:r>
      <w:r w:rsidR="00977B76" w:rsidRPr="0088141F">
        <w:rPr>
          <w:rFonts w:ascii="Times New Roman" w:hAnsi="Times New Roman" w:cs="Times New Roman"/>
          <w:sz w:val="24"/>
          <w:szCs w:val="24"/>
        </w:rPr>
        <w:t>.</w:t>
      </w:r>
      <w:r w:rsidR="00516EE1" w:rsidRPr="0088141F">
        <w:rPr>
          <w:rFonts w:ascii="Times New Roman" w:hAnsi="Times New Roman" w:cs="Times New Roman"/>
          <w:sz w:val="24"/>
          <w:szCs w:val="24"/>
        </w:rPr>
        <w:t xml:space="preserve"> </w:t>
      </w:r>
    </w:p>
    <w:p w14:paraId="46AEEE40" w14:textId="09626F62" w:rsidR="00BF7396" w:rsidRDefault="00977B76" w:rsidP="00A275C7">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Outro</w:t>
      </w:r>
      <w:r w:rsidR="00516EE1" w:rsidRPr="0088141F">
        <w:rPr>
          <w:rFonts w:ascii="Times New Roman" w:hAnsi="Times New Roman" w:cs="Times New Roman"/>
          <w:sz w:val="24"/>
          <w:szCs w:val="24"/>
        </w:rPr>
        <w:t>s</w:t>
      </w:r>
      <w:r w:rsidRPr="0088141F">
        <w:rPr>
          <w:rFonts w:ascii="Times New Roman" w:hAnsi="Times New Roman" w:cs="Times New Roman"/>
          <w:sz w:val="24"/>
          <w:szCs w:val="24"/>
        </w:rPr>
        <w:t xml:space="preserve"> indicador</w:t>
      </w:r>
      <w:r w:rsidR="00516EE1" w:rsidRPr="0088141F">
        <w:rPr>
          <w:rFonts w:ascii="Times New Roman" w:hAnsi="Times New Roman" w:cs="Times New Roman"/>
          <w:sz w:val="24"/>
          <w:szCs w:val="24"/>
        </w:rPr>
        <w:t>es</w:t>
      </w:r>
      <w:r w:rsidRPr="0088141F">
        <w:rPr>
          <w:rFonts w:ascii="Times New Roman" w:hAnsi="Times New Roman" w:cs="Times New Roman"/>
          <w:sz w:val="24"/>
          <w:szCs w:val="24"/>
        </w:rPr>
        <w:t xml:space="preserve"> da modernização agrícola </w:t>
      </w:r>
      <w:r w:rsidR="00516EE1" w:rsidRPr="0088141F">
        <w:rPr>
          <w:rFonts w:ascii="Times New Roman" w:hAnsi="Times New Roman" w:cs="Times New Roman"/>
          <w:sz w:val="24"/>
          <w:szCs w:val="24"/>
        </w:rPr>
        <w:t xml:space="preserve">destacados na Tabela 3 são a presença de irrigação, adubação e </w:t>
      </w:r>
      <w:r w:rsidR="00BF7396">
        <w:rPr>
          <w:rFonts w:ascii="Times New Roman" w:hAnsi="Times New Roman" w:cs="Times New Roman"/>
          <w:sz w:val="24"/>
          <w:szCs w:val="24"/>
        </w:rPr>
        <w:t>do uso de</w:t>
      </w:r>
      <w:r w:rsidR="00516EE1" w:rsidRPr="0088141F">
        <w:rPr>
          <w:rFonts w:ascii="Times New Roman" w:hAnsi="Times New Roman" w:cs="Times New Roman"/>
          <w:sz w:val="24"/>
          <w:szCs w:val="24"/>
        </w:rPr>
        <w:t xml:space="preserve"> agrotóxicos na produção. Quanto ao investimento em irrigação verificou-se um aumento de 21,7% nos estabelecimentos que utilizam e de 4,7% na área irrigada,</w:t>
      </w:r>
      <w:r w:rsidR="004F116A" w:rsidRPr="0088141F">
        <w:rPr>
          <w:rFonts w:ascii="Times New Roman" w:hAnsi="Times New Roman" w:cs="Times New Roman"/>
          <w:sz w:val="24"/>
          <w:szCs w:val="24"/>
        </w:rPr>
        <w:t xml:space="preserve"> demonstrando que o seu uso ainda é indicado em</w:t>
      </w:r>
      <w:r w:rsidR="00BF7396">
        <w:rPr>
          <w:rFonts w:ascii="Times New Roman" w:hAnsi="Times New Roman" w:cs="Times New Roman"/>
          <w:sz w:val="24"/>
          <w:szCs w:val="24"/>
        </w:rPr>
        <w:t xml:space="preserve"> propriedades para </w:t>
      </w:r>
      <w:r w:rsidR="004F116A" w:rsidRPr="0088141F">
        <w:rPr>
          <w:rFonts w:ascii="Times New Roman" w:hAnsi="Times New Roman" w:cs="Times New Roman"/>
          <w:sz w:val="24"/>
          <w:szCs w:val="24"/>
        </w:rPr>
        <w:t xml:space="preserve">áreas menores. </w:t>
      </w:r>
      <w:r w:rsidR="00BF7396">
        <w:rPr>
          <w:rFonts w:ascii="Times New Roman" w:hAnsi="Times New Roman" w:cs="Times New Roman"/>
          <w:sz w:val="24"/>
          <w:szCs w:val="24"/>
        </w:rPr>
        <w:t xml:space="preserve">No entanto, uma tendência que vem se acentuado no estado </w:t>
      </w:r>
      <w:r w:rsidR="00BF7396" w:rsidRPr="0088141F">
        <w:rPr>
          <w:rFonts w:ascii="Times New Roman" w:hAnsi="Times New Roman" w:cs="Times New Roman"/>
          <w:sz w:val="24"/>
          <w:szCs w:val="24"/>
        </w:rPr>
        <w:t>é</w:t>
      </w:r>
      <w:r w:rsidR="00BF7396">
        <w:rPr>
          <w:rFonts w:ascii="Times New Roman" w:hAnsi="Times New Roman" w:cs="Times New Roman"/>
          <w:sz w:val="24"/>
          <w:szCs w:val="24"/>
        </w:rPr>
        <w:t xml:space="preserve"> a possibilidade de realização de terceira safra com o uso de irrigação, como o caso do feijão que expandiu significativamente a sua área </w:t>
      </w:r>
      <w:r w:rsidR="00CE0D5B">
        <w:rPr>
          <w:rFonts w:ascii="Times New Roman" w:hAnsi="Times New Roman" w:cs="Times New Roman"/>
          <w:sz w:val="24"/>
          <w:szCs w:val="24"/>
        </w:rPr>
        <w:t>média</w:t>
      </w:r>
      <w:r w:rsidR="00BF7396">
        <w:rPr>
          <w:rFonts w:ascii="Times New Roman" w:hAnsi="Times New Roman" w:cs="Times New Roman"/>
          <w:sz w:val="24"/>
          <w:szCs w:val="24"/>
        </w:rPr>
        <w:t xml:space="preserve"> (ver Tabela 4), incentivado novos investimentos.</w:t>
      </w:r>
    </w:p>
    <w:p w14:paraId="3FF6F626" w14:textId="77777777" w:rsidR="00A275C7" w:rsidRPr="0088141F" w:rsidRDefault="004F116A" w:rsidP="00A275C7">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De outro lado, o uso de adubação e de agrotóxicos </w:t>
      </w:r>
      <w:r w:rsidR="00BF7396">
        <w:rPr>
          <w:rFonts w:ascii="Times New Roman" w:hAnsi="Times New Roman" w:cs="Times New Roman"/>
          <w:sz w:val="24"/>
          <w:szCs w:val="24"/>
        </w:rPr>
        <w:t>se destacam</w:t>
      </w:r>
      <w:r w:rsidRPr="0088141F">
        <w:rPr>
          <w:rFonts w:ascii="Times New Roman" w:hAnsi="Times New Roman" w:cs="Times New Roman"/>
          <w:sz w:val="24"/>
          <w:szCs w:val="24"/>
        </w:rPr>
        <w:t>. Isso porque</w:t>
      </w:r>
      <w:r w:rsidR="00A275C7" w:rsidRPr="0088141F">
        <w:rPr>
          <w:rFonts w:ascii="Times New Roman" w:hAnsi="Times New Roman" w:cs="Times New Roman"/>
          <w:sz w:val="24"/>
          <w:szCs w:val="24"/>
        </w:rPr>
        <w:t>, enquanto o aumento no número de estabelecimentos que fizeram uso de adubação para o preparo do solo f</w:t>
      </w:r>
      <w:r w:rsidR="00BF7396">
        <w:rPr>
          <w:rFonts w:ascii="Times New Roman" w:hAnsi="Times New Roman" w:cs="Times New Roman"/>
          <w:sz w:val="24"/>
          <w:szCs w:val="24"/>
        </w:rPr>
        <w:t>oi de 632,8%, bastante abaixo da taxa de</w:t>
      </w:r>
      <w:r w:rsidR="00A275C7" w:rsidRPr="0088141F">
        <w:rPr>
          <w:rFonts w:ascii="Times New Roman" w:hAnsi="Times New Roman" w:cs="Times New Roman"/>
          <w:sz w:val="24"/>
          <w:szCs w:val="24"/>
        </w:rPr>
        <w:t xml:space="preserve"> crescimento nacional de 1.396,4%; o número de estabelecimentos que fez uso de agrotóxicos aumento</w:t>
      </w:r>
      <w:r w:rsidR="00BF7396">
        <w:rPr>
          <w:rFonts w:ascii="Times New Roman" w:hAnsi="Times New Roman" w:cs="Times New Roman"/>
          <w:sz w:val="24"/>
          <w:szCs w:val="24"/>
        </w:rPr>
        <w:t>u</w:t>
      </w:r>
      <w:r w:rsidR="00A275C7" w:rsidRPr="0088141F">
        <w:rPr>
          <w:rFonts w:ascii="Times New Roman" w:hAnsi="Times New Roman" w:cs="Times New Roman"/>
          <w:sz w:val="24"/>
          <w:szCs w:val="24"/>
        </w:rPr>
        <w:t xml:space="preserve"> </w:t>
      </w:r>
      <w:r w:rsidR="00BF7396">
        <w:rPr>
          <w:rFonts w:ascii="Times New Roman" w:hAnsi="Times New Roman" w:cs="Times New Roman"/>
          <w:sz w:val="24"/>
          <w:szCs w:val="24"/>
        </w:rPr>
        <w:t xml:space="preserve">em </w:t>
      </w:r>
      <w:r w:rsidR="00A275C7" w:rsidRPr="0088141F">
        <w:rPr>
          <w:rFonts w:ascii="Times New Roman" w:hAnsi="Times New Roman" w:cs="Times New Roman"/>
          <w:sz w:val="24"/>
          <w:szCs w:val="24"/>
        </w:rPr>
        <w:t>147,4%, ante um aumento de apenas 20,4% do total nacional, o que demonstra que a especialização da produção local.</w:t>
      </w:r>
    </w:p>
    <w:p w14:paraId="004DF509" w14:textId="704A2855" w:rsidR="00977B76" w:rsidRPr="0088141F" w:rsidRDefault="00977B76" w:rsidP="00A275C7">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Em 2008, o Brasil assumiu o posto de maior mercado mundial de agrotóxicos, ultrapassando os Estados Unidos (CARNEIRO; PIGNATI e RIGOTTO, 2012). Segundo </w:t>
      </w:r>
      <w:proofErr w:type="spellStart"/>
      <w:r w:rsidRPr="0088141F">
        <w:rPr>
          <w:rFonts w:ascii="Times New Roman" w:hAnsi="Times New Roman" w:cs="Times New Roman"/>
          <w:sz w:val="24"/>
          <w:szCs w:val="24"/>
        </w:rPr>
        <w:t>Bombardi</w:t>
      </w:r>
      <w:proofErr w:type="spellEnd"/>
      <w:r w:rsidRPr="0088141F">
        <w:rPr>
          <w:rFonts w:ascii="Times New Roman" w:hAnsi="Times New Roman" w:cs="Times New Roman"/>
          <w:sz w:val="24"/>
          <w:szCs w:val="24"/>
        </w:rPr>
        <w:t xml:space="preserve"> (2017), entre 2012 e 2014, a média de consumo de agrotóxicos no Brasil foi de 8,33 </w:t>
      </w:r>
      <w:r w:rsidR="00EC298C">
        <w:rPr>
          <w:rFonts w:ascii="Times New Roman" w:hAnsi="Times New Roman" w:cs="Times New Roman"/>
          <w:sz w:val="24"/>
          <w:szCs w:val="24"/>
        </w:rPr>
        <w:t>k</w:t>
      </w:r>
      <w:r w:rsidRPr="0088141F">
        <w:rPr>
          <w:rFonts w:ascii="Times New Roman" w:hAnsi="Times New Roman" w:cs="Times New Roman"/>
          <w:sz w:val="24"/>
          <w:szCs w:val="24"/>
        </w:rPr>
        <w:t>g, por hectares, porém, com grandes diferenças regionais. Nos estados de Mato Grosso, Mato Grosso do Sul, Goiás e São Paulo a média varia entre 12 e 16 kg,</w:t>
      </w:r>
      <w:r w:rsidR="00A275C7" w:rsidRPr="0088141F">
        <w:rPr>
          <w:rFonts w:ascii="Times New Roman" w:hAnsi="Times New Roman" w:cs="Times New Roman"/>
          <w:sz w:val="24"/>
          <w:szCs w:val="24"/>
        </w:rPr>
        <w:t xml:space="preserve"> por hectare. </w:t>
      </w:r>
      <w:r w:rsidRPr="0088141F">
        <w:rPr>
          <w:rFonts w:ascii="Times New Roman" w:hAnsi="Times New Roman" w:cs="Times New Roman"/>
          <w:sz w:val="24"/>
          <w:szCs w:val="24"/>
        </w:rPr>
        <w:t>O crescimento das vendas de agrotóxicos</w:t>
      </w:r>
      <w:r w:rsidR="00A275C7" w:rsidRPr="0088141F">
        <w:rPr>
          <w:rFonts w:ascii="Times New Roman" w:hAnsi="Times New Roman" w:cs="Times New Roman"/>
          <w:sz w:val="24"/>
          <w:szCs w:val="24"/>
        </w:rPr>
        <w:t xml:space="preserve"> no Estado</w:t>
      </w:r>
      <w:r w:rsidRPr="0088141F">
        <w:rPr>
          <w:rFonts w:ascii="Times New Roman" w:hAnsi="Times New Roman" w:cs="Times New Roman"/>
          <w:sz w:val="24"/>
          <w:szCs w:val="24"/>
        </w:rPr>
        <w:t>, pode ser verificado também nos dados disponibilizados pelo Instituto Brasileiro do Meio Ambiente e dos Recursos Naturais Renováveis (IBAMA)</w:t>
      </w:r>
      <w:r w:rsidRPr="0088141F">
        <w:rPr>
          <w:rStyle w:val="Refdenotaderodap"/>
          <w:rFonts w:ascii="Times New Roman" w:hAnsi="Times New Roman" w:cs="Times New Roman"/>
          <w:sz w:val="24"/>
          <w:szCs w:val="24"/>
        </w:rPr>
        <w:footnoteReference w:id="13"/>
      </w:r>
      <w:r w:rsidRPr="0088141F">
        <w:rPr>
          <w:rFonts w:ascii="Times New Roman" w:hAnsi="Times New Roman" w:cs="Times New Roman"/>
          <w:sz w:val="24"/>
          <w:szCs w:val="24"/>
        </w:rPr>
        <w:t xml:space="preserve">, </w:t>
      </w:r>
      <w:r w:rsidRPr="00BF7396">
        <w:rPr>
          <w:rFonts w:ascii="Times New Roman" w:hAnsi="Times New Roman" w:cs="Times New Roman"/>
          <w:sz w:val="24"/>
          <w:szCs w:val="24"/>
        </w:rPr>
        <w:t xml:space="preserve">conforme Gráfico </w:t>
      </w:r>
      <w:r w:rsidR="001A0FB4" w:rsidRPr="00BF7396">
        <w:rPr>
          <w:rFonts w:ascii="Times New Roman" w:hAnsi="Times New Roman" w:cs="Times New Roman"/>
          <w:sz w:val="24"/>
          <w:szCs w:val="24"/>
        </w:rPr>
        <w:t>3</w:t>
      </w:r>
      <w:r w:rsidRPr="00BF7396">
        <w:rPr>
          <w:rFonts w:ascii="Times New Roman" w:hAnsi="Times New Roman" w:cs="Times New Roman"/>
          <w:sz w:val="24"/>
          <w:szCs w:val="24"/>
        </w:rPr>
        <w:t>.</w:t>
      </w:r>
    </w:p>
    <w:p w14:paraId="1D69AFCF" w14:textId="77777777" w:rsidR="00BF7396" w:rsidRDefault="00BF7396">
      <w:pPr>
        <w:rPr>
          <w:rFonts w:ascii="Times New Roman" w:hAnsi="Times New Roman" w:cs="Times New Roman"/>
          <w:b/>
          <w:sz w:val="24"/>
          <w:szCs w:val="24"/>
        </w:rPr>
      </w:pPr>
      <w:bookmarkStart w:id="15" w:name="_Toc2204473"/>
      <w:r>
        <w:rPr>
          <w:rFonts w:ascii="Times New Roman" w:hAnsi="Times New Roman" w:cs="Times New Roman"/>
          <w:b/>
          <w:sz w:val="24"/>
          <w:szCs w:val="24"/>
        </w:rPr>
        <w:br w:type="page"/>
      </w:r>
    </w:p>
    <w:p w14:paraId="29B938AA" w14:textId="77777777" w:rsidR="00977B76" w:rsidRPr="0088141F" w:rsidRDefault="00977B76" w:rsidP="00AF5703">
      <w:pPr>
        <w:spacing w:after="0" w:line="240" w:lineRule="auto"/>
        <w:jc w:val="both"/>
        <w:rPr>
          <w:rFonts w:ascii="Times New Roman" w:hAnsi="Times New Roman" w:cs="Times New Roman"/>
          <w:b/>
          <w:sz w:val="24"/>
          <w:szCs w:val="24"/>
        </w:rPr>
      </w:pPr>
      <w:r w:rsidRPr="008032F6">
        <w:rPr>
          <w:rFonts w:ascii="Times New Roman" w:hAnsi="Times New Roman" w:cs="Times New Roman"/>
          <w:b/>
          <w:sz w:val="24"/>
          <w:szCs w:val="24"/>
        </w:rPr>
        <w:lastRenderedPageBreak/>
        <w:t xml:space="preserve">Gráfico </w:t>
      </w:r>
      <w:r w:rsidR="001A0FB4" w:rsidRPr="008032F6">
        <w:rPr>
          <w:rFonts w:ascii="Times New Roman" w:hAnsi="Times New Roman" w:cs="Times New Roman"/>
          <w:b/>
          <w:sz w:val="24"/>
          <w:szCs w:val="24"/>
        </w:rPr>
        <w:t>3</w:t>
      </w:r>
      <w:r w:rsidRPr="008032F6">
        <w:rPr>
          <w:rFonts w:ascii="Times New Roman" w:hAnsi="Times New Roman" w:cs="Times New Roman"/>
          <w:b/>
          <w:sz w:val="24"/>
          <w:szCs w:val="24"/>
        </w:rPr>
        <w:t>:</w:t>
      </w:r>
      <w:r w:rsidRPr="0088141F">
        <w:rPr>
          <w:rFonts w:ascii="Times New Roman" w:hAnsi="Times New Roman" w:cs="Times New Roman"/>
          <w:b/>
          <w:sz w:val="24"/>
          <w:szCs w:val="24"/>
        </w:rPr>
        <w:t xml:space="preserve"> Vendas de Agrotóxicos e Afins no Mato Grosso, Centro-Oeste e Brasil, 2000 a 2017 (tonelada de ingrediente ativo).</w:t>
      </w:r>
      <w:bookmarkEnd w:id="15"/>
    </w:p>
    <w:p w14:paraId="41BF939F" w14:textId="77777777" w:rsidR="00977B76" w:rsidRPr="0088141F" w:rsidRDefault="00977B76" w:rsidP="00AF5703">
      <w:pPr>
        <w:spacing w:after="0" w:line="240" w:lineRule="auto"/>
        <w:rPr>
          <w:rFonts w:ascii="Times New Roman" w:hAnsi="Times New Roman" w:cs="Times New Roman"/>
          <w:sz w:val="20"/>
          <w:szCs w:val="20"/>
        </w:rPr>
      </w:pPr>
      <w:r w:rsidRPr="0088141F">
        <w:rPr>
          <w:rFonts w:ascii="Times New Roman" w:hAnsi="Times New Roman" w:cs="Times New Roman"/>
          <w:noProof/>
        </w:rPr>
        <w:drawing>
          <wp:inline distT="0" distB="0" distL="0" distR="0" wp14:anchorId="217994E7" wp14:editId="50521B16">
            <wp:extent cx="5836285" cy="296100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8141F">
        <w:rPr>
          <w:rFonts w:ascii="Times New Roman" w:hAnsi="Times New Roman" w:cs="Times New Roman"/>
          <w:b/>
          <w:sz w:val="20"/>
          <w:szCs w:val="20"/>
        </w:rPr>
        <w:t>Fonte:</w:t>
      </w:r>
      <w:r w:rsidRPr="0088141F">
        <w:rPr>
          <w:rFonts w:ascii="Times New Roman" w:hAnsi="Times New Roman" w:cs="Times New Roman"/>
          <w:sz w:val="20"/>
          <w:szCs w:val="20"/>
        </w:rPr>
        <w:t xml:space="preserve"> IBAMA (2018)</w:t>
      </w:r>
    </w:p>
    <w:p w14:paraId="6D8F07A3" w14:textId="77777777" w:rsidR="00977B76" w:rsidRPr="0088141F" w:rsidRDefault="00977B76" w:rsidP="00AF5703">
      <w:pPr>
        <w:spacing w:after="0" w:line="240" w:lineRule="auto"/>
        <w:jc w:val="both"/>
        <w:rPr>
          <w:rFonts w:ascii="Times New Roman" w:hAnsi="Times New Roman" w:cs="Times New Roman"/>
          <w:sz w:val="20"/>
          <w:szCs w:val="20"/>
        </w:rPr>
      </w:pPr>
      <w:r w:rsidRPr="0088141F">
        <w:rPr>
          <w:rFonts w:ascii="Times New Roman" w:hAnsi="Times New Roman" w:cs="Times New Roman"/>
          <w:b/>
          <w:sz w:val="20"/>
          <w:szCs w:val="20"/>
        </w:rPr>
        <w:t>Nota:</w:t>
      </w:r>
      <w:r w:rsidRPr="0088141F">
        <w:rPr>
          <w:rFonts w:ascii="Times New Roman" w:hAnsi="Times New Roman" w:cs="Times New Roman"/>
          <w:sz w:val="20"/>
          <w:szCs w:val="20"/>
        </w:rPr>
        <w:t xml:space="preserve"> Os dados informados pelas empresas referentes aos anos de 2007 e 2008 não foram sistematizados pelo IBAMA.</w:t>
      </w:r>
    </w:p>
    <w:p w14:paraId="2324DFFE" w14:textId="77777777" w:rsidR="00977B76" w:rsidRPr="0088141F" w:rsidRDefault="00977B76" w:rsidP="00AF5703">
      <w:pPr>
        <w:spacing w:after="0" w:line="240" w:lineRule="auto"/>
        <w:ind w:firstLine="708"/>
        <w:jc w:val="both"/>
        <w:rPr>
          <w:rFonts w:ascii="Times New Roman" w:hAnsi="Times New Roman" w:cs="Times New Roman"/>
          <w:sz w:val="24"/>
          <w:szCs w:val="24"/>
        </w:rPr>
      </w:pPr>
    </w:p>
    <w:p w14:paraId="58B1DCC7"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Desde 2013, Mato Grosso tornou-se o estado com maior participação nas vendas de agrotóxico no país, impulsionando a participação do Centro-Oeste. Entre os produtos que compõe as vendas, estão inclusos herbicidas, fungicidas, inseticidas, acaricidas e outros componentes. Esses produtos são classificados quanto à periculosidade ambiental, em classes que variam de I a IV, sendo o primeiro o mais perigoso.</w:t>
      </w:r>
      <w:r w:rsidRPr="0088141F">
        <w:rPr>
          <w:rStyle w:val="Refdenotaderodap"/>
          <w:rFonts w:ascii="Times New Roman" w:hAnsi="Times New Roman" w:cs="Times New Roman"/>
          <w:sz w:val="24"/>
          <w:szCs w:val="24"/>
        </w:rPr>
        <w:footnoteReference w:id="14"/>
      </w:r>
      <w:r w:rsidRPr="0088141F">
        <w:rPr>
          <w:rFonts w:ascii="Times New Roman" w:hAnsi="Times New Roman" w:cs="Times New Roman"/>
          <w:sz w:val="24"/>
          <w:szCs w:val="24"/>
        </w:rPr>
        <w:t xml:space="preserve"> Em 2017, Mato Grosso, consumiu 21,2% do total de produtos de Classe I, no Brasil, que correspondente a 1.071,4 toneladas (IBAMA, 2018). O ingrediente ativo mais utilizado no estado é o herbicida Glifosato, e foram consumidas 31 mil toneladas dele, em 2017, aproximadamente, 19% da demanda brasileira. </w:t>
      </w:r>
    </w:p>
    <w:p w14:paraId="6742F57A"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Contribui para o elevado uso de agrotóxicos na produção agrícola o uso de sementes geneticamente modificadas, desenvolvidas para resistir à inseticidas e/ou a herbicidas, por pulverização, como o glifosato, que atacam as plantas daninhas, em ambos os casos, sem afetar a cultura principal. Essas sementes são utilizadas de forma intensa na produção de soja, milho e algodão, sendo essas culturas as que lideraram as vendas de agrotóxicos. Em 2015, a soja representou 52% do consumo total no país, seguido da cana-de-açúcar (10%), do milho (10%) e do algodão (7%), sendo essa última cultura a que mais consome agrotóxicos, por hectare de produto (SINDIVEG, 2016).</w:t>
      </w:r>
    </w:p>
    <w:p w14:paraId="0ED038F7" w14:textId="3167FB8C"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Segundo o estudo da </w:t>
      </w:r>
      <w:proofErr w:type="spellStart"/>
      <w:r w:rsidR="00C31051" w:rsidRPr="00BA4440">
        <w:rPr>
          <w:rFonts w:ascii="Times New Roman" w:hAnsi="Times New Roman" w:cs="Times New Roman"/>
          <w:i/>
          <w:iCs/>
          <w:sz w:val="24"/>
          <w:szCs w:val="24"/>
        </w:rPr>
        <w:t>International</w:t>
      </w:r>
      <w:proofErr w:type="spellEnd"/>
      <w:r w:rsidR="00C31051" w:rsidRPr="00BA4440">
        <w:rPr>
          <w:rFonts w:ascii="Times New Roman" w:hAnsi="Times New Roman" w:cs="Times New Roman"/>
          <w:i/>
          <w:iCs/>
          <w:sz w:val="24"/>
          <w:szCs w:val="24"/>
        </w:rPr>
        <w:t xml:space="preserve"> </w:t>
      </w:r>
      <w:proofErr w:type="spellStart"/>
      <w:r w:rsidR="00C31051" w:rsidRPr="00BA4440">
        <w:rPr>
          <w:rFonts w:ascii="Times New Roman" w:hAnsi="Times New Roman" w:cs="Times New Roman"/>
          <w:i/>
          <w:iCs/>
          <w:sz w:val="24"/>
          <w:szCs w:val="24"/>
        </w:rPr>
        <w:t>Agency</w:t>
      </w:r>
      <w:proofErr w:type="spellEnd"/>
      <w:r w:rsidR="00C31051" w:rsidRPr="00BA4440">
        <w:rPr>
          <w:rFonts w:ascii="Times New Roman" w:hAnsi="Times New Roman" w:cs="Times New Roman"/>
          <w:i/>
          <w:iCs/>
          <w:sz w:val="24"/>
          <w:szCs w:val="24"/>
        </w:rPr>
        <w:t xml:space="preserve"> for </w:t>
      </w:r>
      <w:proofErr w:type="spellStart"/>
      <w:r w:rsidR="00C31051" w:rsidRPr="00BA4440">
        <w:rPr>
          <w:rFonts w:ascii="Times New Roman" w:hAnsi="Times New Roman" w:cs="Times New Roman"/>
          <w:i/>
          <w:iCs/>
          <w:sz w:val="24"/>
          <w:szCs w:val="24"/>
        </w:rPr>
        <w:t>Research</w:t>
      </w:r>
      <w:proofErr w:type="spellEnd"/>
      <w:r w:rsidR="00C31051" w:rsidRPr="00BA4440">
        <w:rPr>
          <w:rFonts w:ascii="Times New Roman" w:hAnsi="Times New Roman" w:cs="Times New Roman"/>
          <w:i/>
          <w:iCs/>
          <w:sz w:val="24"/>
          <w:szCs w:val="24"/>
        </w:rPr>
        <w:t xml:space="preserve"> </w:t>
      </w:r>
      <w:proofErr w:type="spellStart"/>
      <w:r w:rsidR="00C31051" w:rsidRPr="00BA4440">
        <w:rPr>
          <w:rFonts w:ascii="Times New Roman" w:hAnsi="Times New Roman" w:cs="Times New Roman"/>
          <w:i/>
          <w:iCs/>
          <w:sz w:val="24"/>
          <w:szCs w:val="24"/>
        </w:rPr>
        <w:t>on</w:t>
      </w:r>
      <w:proofErr w:type="spellEnd"/>
      <w:r w:rsidR="00C31051" w:rsidRPr="00BA4440">
        <w:rPr>
          <w:rFonts w:ascii="Times New Roman" w:hAnsi="Times New Roman" w:cs="Times New Roman"/>
          <w:i/>
          <w:iCs/>
          <w:sz w:val="24"/>
          <w:szCs w:val="24"/>
        </w:rPr>
        <w:t xml:space="preserve"> </w:t>
      </w:r>
      <w:proofErr w:type="spellStart"/>
      <w:r w:rsidR="00C31051" w:rsidRPr="00BA4440">
        <w:rPr>
          <w:rFonts w:ascii="Times New Roman" w:hAnsi="Times New Roman" w:cs="Times New Roman"/>
          <w:i/>
          <w:iCs/>
          <w:sz w:val="24"/>
          <w:szCs w:val="24"/>
        </w:rPr>
        <w:t>Cancer</w:t>
      </w:r>
      <w:proofErr w:type="spellEnd"/>
      <w:r w:rsidR="00C31051" w:rsidRPr="00BA6EBA">
        <w:rPr>
          <w:rFonts w:ascii="Times New Roman" w:hAnsi="Times New Roman" w:cs="Times New Roman"/>
          <w:sz w:val="24"/>
          <w:szCs w:val="24"/>
        </w:rPr>
        <w:t xml:space="preserve"> </w:t>
      </w:r>
      <w:r w:rsidR="00BA6EBA" w:rsidRPr="00BA6EBA">
        <w:rPr>
          <w:rFonts w:ascii="Times New Roman" w:hAnsi="Times New Roman" w:cs="Times New Roman"/>
          <w:sz w:val="24"/>
          <w:szCs w:val="24"/>
        </w:rPr>
        <w:t>(IARC)</w:t>
      </w:r>
      <w:r w:rsidR="00BA6EBA" w:rsidRPr="0088141F">
        <w:rPr>
          <w:rFonts w:ascii="Times New Roman" w:hAnsi="Times New Roman" w:cs="Times New Roman"/>
          <w:sz w:val="24"/>
          <w:szCs w:val="24"/>
        </w:rPr>
        <w:t xml:space="preserve"> </w:t>
      </w:r>
      <w:r w:rsidRPr="0088141F">
        <w:rPr>
          <w:rFonts w:ascii="Times New Roman" w:hAnsi="Times New Roman" w:cs="Times New Roman"/>
          <w:sz w:val="24"/>
          <w:szCs w:val="24"/>
        </w:rPr>
        <w:t>(2015), admite-se os efeitos nocivos do uso do glifosato, com evidência quanto ao efeito causador de câncer em animais tratados em laboratório e como potencial causador de alterações da estrutura do DNA</w:t>
      </w:r>
      <w:r w:rsidR="00DA4462">
        <w:rPr>
          <w:rFonts w:ascii="Times New Roman" w:hAnsi="Times New Roman" w:cs="Times New Roman"/>
          <w:sz w:val="24"/>
          <w:szCs w:val="24"/>
        </w:rPr>
        <w:t xml:space="preserve">, o que levou a agência a classifica-los como potencialmente </w:t>
      </w:r>
      <w:r w:rsidR="00E96AA5">
        <w:rPr>
          <w:rFonts w:ascii="Times New Roman" w:hAnsi="Times New Roman" w:cs="Times New Roman"/>
          <w:sz w:val="24"/>
          <w:szCs w:val="24"/>
        </w:rPr>
        <w:t xml:space="preserve">cancerígenos </w:t>
      </w:r>
      <w:r w:rsidR="00E75E04">
        <w:rPr>
          <w:rFonts w:ascii="Times New Roman" w:hAnsi="Times New Roman" w:cs="Times New Roman"/>
          <w:sz w:val="24"/>
          <w:szCs w:val="24"/>
        </w:rPr>
        <w:t>para</w:t>
      </w:r>
      <w:r w:rsidRPr="0088141F">
        <w:rPr>
          <w:rFonts w:ascii="Times New Roman" w:hAnsi="Times New Roman" w:cs="Times New Roman"/>
          <w:sz w:val="24"/>
          <w:szCs w:val="24"/>
        </w:rPr>
        <w:t xml:space="preserve"> </w:t>
      </w:r>
      <w:r w:rsidRPr="0088141F">
        <w:rPr>
          <w:rFonts w:ascii="Times New Roman" w:hAnsi="Times New Roman" w:cs="Times New Roman"/>
          <w:sz w:val="24"/>
          <w:szCs w:val="24"/>
        </w:rPr>
        <w:lastRenderedPageBreak/>
        <w:t>human</w:t>
      </w:r>
      <w:r w:rsidR="00E96AA5">
        <w:rPr>
          <w:rFonts w:ascii="Times New Roman" w:hAnsi="Times New Roman" w:cs="Times New Roman"/>
          <w:sz w:val="24"/>
          <w:szCs w:val="24"/>
        </w:rPr>
        <w:t>o</w:t>
      </w:r>
      <w:r w:rsidRPr="0088141F">
        <w:rPr>
          <w:rFonts w:ascii="Times New Roman" w:hAnsi="Times New Roman" w:cs="Times New Roman"/>
          <w:sz w:val="24"/>
          <w:szCs w:val="24"/>
        </w:rPr>
        <w:t>s. No Brasil, a discussão sobre o uso do produto estende na justiça</w:t>
      </w:r>
      <w:r w:rsidRPr="0088141F">
        <w:rPr>
          <w:rStyle w:val="Refdenotaderodap"/>
          <w:rFonts w:ascii="Times New Roman" w:hAnsi="Times New Roman" w:cs="Times New Roman"/>
          <w:sz w:val="24"/>
          <w:szCs w:val="24"/>
        </w:rPr>
        <w:footnoteReference w:id="15"/>
      </w:r>
      <w:r w:rsidRPr="0088141F">
        <w:rPr>
          <w:rFonts w:ascii="Times New Roman" w:hAnsi="Times New Roman" w:cs="Times New Roman"/>
          <w:sz w:val="24"/>
          <w:szCs w:val="24"/>
        </w:rPr>
        <w:t>, mas sem apresentar resultados efetivos (</w:t>
      </w:r>
      <w:r w:rsidR="00E10D45" w:rsidRPr="0088141F">
        <w:rPr>
          <w:rFonts w:ascii="Times New Roman" w:hAnsi="Times New Roman" w:cs="Times New Roman"/>
          <w:sz w:val="24"/>
          <w:szCs w:val="24"/>
        </w:rPr>
        <w:t>BOMBARDI</w:t>
      </w:r>
      <w:r w:rsidRPr="0088141F">
        <w:rPr>
          <w:rFonts w:ascii="Times New Roman" w:hAnsi="Times New Roman" w:cs="Times New Roman"/>
          <w:sz w:val="24"/>
          <w:szCs w:val="24"/>
        </w:rPr>
        <w:t xml:space="preserve">, 2017). </w:t>
      </w:r>
    </w:p>
    <w:p w14:paraId="03D6CB41" w14:textId="5F05734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Nesse sentido, muitos estudos têm buscado demonstrar os efeitos nocivos do uso de agrotóxicos sobre o meio ambiente e a vida das pessoas, como a contaminação das águas de córregos, em áreas urbanas e indígenas</w:t>
      </w:r>
      <w:r w:rsidR="00441B3A">
        <w:rPr>
          <w:rFonts w:ascii="Times New Roman" w:hAnsi="Times New Roman" w:cs="Times New Roman"/>
          <w:sz w:val="24"/>
          <w:szCs w:val="24"/>
        </w:rPr>
        <w:t>;</w:t>
      </w:r>
      <w:r w:rsidR="008F6A22">
        <w:rPr>
          <w:rFonts w:ascii="Times New Roman" w:hAnsi="Times New Roman" w:cs="Times New Roman"/>
          <w:sz w:val="24"/>
          <w:szCs w:val="24"/>
        </w:rPr>
        <w:t xml:space="preserve"> da </w:t>
      </w:r>
      <w:r w:rsidRPr="0088141F">
        <w:rPr>
          <w:rFonts w:ascii="Times New Roman" w:eastAsia="Times New Roman" w:hAnsi="Times New Roman" w:cs="Times New Roman"/>
          <w:color w:val="000000"/>
          <w:sz w:val="24"/>
          <w:szCs w:val="24"/>
        </w:rPr>
        <w:t>disseminação de doenças cancerígenas</w:t>
      </w:r>
      <w:r w:rsidRPr="0088141F">
        <w:rPr>
          <w:rStyle w:val="Refdenotaderodap"/>
          <w:rFonts w:ascii="Times New Roman" w:hAnsi="Times New Roman" w:cs="Times New Roman"/>
          <w:sz w:val="24"/>
          <w:szCs w:val="24"/>
        </w:rPr>
        <w:footnoteReference w:id="16"/>
      </w:r>
      <w:r w:rsidR="00B00301">
        <w:rPr>
          <w:rFonts w:ascii="Times New Roman" w:hAnsi="Times New Roman" w:cs="Times New Roman"/>
          <w:sz w:val="24"/>
          <w:szCs w:val="24"/>
        </w:rPr>
        <w:t xml:space="preserve"> e, inclusive,</w:t>
      </w:r>
      <w:r w:rsidR="008F6A22">
        <w:rPr>
          <w:rFonts w:ascii="Times New Roman" w:hAnsi="Times New Roman" w:cs="Times New Roman"/>
          <w:sz w:val="24"/>
          <w:szCs w:val="24"/>
        </w:rPr>
        <w:t xml:space="preserve"> do</w:t>
      </w:r>
      <w:r w:rsidR="008F6A22" w:rsidRPr="0088141F">
        <w:rPr>
          <w:rFonts w:ascii="Times New Roman" w:hAnsi="Times New Roman" w:cs="Times New Roman"/>
          <w:sz w:val="24"/>
          <w:szCs w:val="24"/>
        </w:rPr>
        <w:t xml:space="preserve"> </w:t>
      </w:r>
      <w:r w:rsidR="008F6A22" w:rsidRPr="0088141F">
        <w:rPr>
          <w:rFonts w:ascii="Times New Roman" w:eastAsia="Times New Roman" w:hAnsi="Times New Roman" w:cs="Times New Roman"/>
          <w:color w:val="000000"/>
          <w:sz w:val="24"/>
          <w:szCs w:val="24"/>
        </w:rPr>
        <w:t>leite materno</w:t>
      </w:r>
      <w:r w:rsidR="008F6A22" w:rsidRPr="0088141F">
        <w:rPr>
          <w:rStyle w:val="Refdenotaderodap"/>
          <w:rFonts w:ascii="Times New Roman" w:eastAsia="Times New Roman" w:hAnsi="Times New Roman" w:cs="Times New Roman"/>
          <w:color w:val="000000"/>
          <w:sz w:val="24"/>
          <w:szCs w:val="24"/>
        </w:rPr>
        <w:footnoteReference w:id="17"/>
      </w:r>
      <w:r w:rsidR="008F6A22">
        <w:rPr>
          <w:rFonts w:ascii="Times New Roman" w:eastAsia="Times New Roman" w:hAnsi="Times New Roman" w:cs="Times New Roman"/>
          <w:color w:val="000000"/>
          <w:sz w:val="24"/>
          <w:szCs w:val="24"/>
        </w:rPr>
        <w:t xml:space="preserve">. </w:t>
      </w:r>
      <w:r w:rsidRPr="0088141F">
        <w:rPr>
          <w:rFonts w:ascii="Times New Roman" w:eastAsia="Times New Roman" w:hAnsi="Times New Roman" w:cs="Times New Roman"/>
          <w:color w:val="000000"/>
          <w:sz w:val="24"/>
          <w:szCs w:val="24"/>
        </w:rPr>
        <w:t xml:space="preserve">De forma geral, o que os estudos estão expondo são os efeitos nocivos deste modo de produção sobre a vida humana, através da alimentação, da água e do ar. Essas constatações, evidentes nas regiões produtoras de </w:t>
      </w:r>
      <w:r w:rsidRPr="0088141F">
        <w:rPr>
          <w:rFonts w:ascii="Times New Roman" w:eastAsia="Times New Roman" w:hAnsi="Times New Roman" w:cs="Times New Roman"/>
          <w:i/>
          <w:color w:val="000000"/>
          <w:sz w:val="24"/>
          <w:szCs w:val="24"/>
        </w:rPr>
        <w:t>commodities</w:t>
      </w:r>
      <w:r w:rsidRPr="0088141F">
        <w:rPr>
          <w:rFonts w:ascii="Times New Roman" w:eastAsia="Times New Roman" w:hAnsi="Times New Roman" w:cs="Times New Roman"/>
          <w:color w:val="000000"/>
          <w:sz w:val="24"/>
          <w:szCs w:val="24"/>
        </w:rPr>
        <w:t xml:space="preserve">, tendem a se expandir, sem barreiras, para áreas indígenas, áreas de preservação e outras unidades da federação. </w:t>
      </w:r>
    </w:p>
    <w:p w14:paraId="08FAABBD"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Nesse sentido, destaca-se que a expansão da produção de </w:t>
      </w:r>
      <w:r w:rsidRPr="0088141F">
        <w:rPr>
          <w:rFonts w:ascii="Times New Roman" w:hAnsi="Times New Roman" w:cs="Times New Roman"/>
          <w:i/>
          <w:sz w:val="24"/>
          <w:szCs w:val="24"/>
        </w:rPr>
        <w:t>commodities,</w:t>
      </w:r>
      <w:r w:rsidRPr="0088141F">
        <w:rPr>
          <w:rFonts w:ascii="Times New Roman" w:hAnsi="Times New Roman" w:cs="Times New Roman"/>
          <w:sz w:val="24"/>
          <w:szCs w:val="24"/>
        </w:rPr>
        <w:t xml:space="preserve"> como tendo superado, em certa medida, o padrão tecnológico difundido pelo paradigma da Revolução Verde, atua dentro de limites muito estreitos, determinados pelos ganhos capitalistas. O uso de técnicas como sementes modificadas, plantio direto e fertilizantes químicos, refletem práticas </w:t>
      </w:r>
      <w:r w:rsidR="004E6491">
        <w:rPr>
          <w:rFonts w:ascii="Times New Roman" w:hAnsi="Times New Roman" w:cs="Times New Roman"/>
          <w:sz w:val="24"/>
          <w:szCs w:val="24"/>
        </w:rPr>
        <w:t>nocivas e</w:t>
      </w:r>
      <w:r w:rsidRPr="0088141F">
        <w:rPr>
          <w:rFonts w:ascii="Times New Roman" w:hAnsi="Times New Roman" w:cs="Times New Roman"/>
          <w:sz w:val="24"/>
          <w:szCs w:val="24"/>
        </w:rPr>
        <w:t xml:space="preserve"> </w:t>
      </w:r>
      <w:r w:rsidR="004E6491">
        <w:rPr>
          <w:rFonts w:ascii="Times New Roman" w:hAnsi="Times New Roman" w:cs="Times New Roman"/>
          <w:sz w:val="24"/>
          <w:szCs w:val="24"/>
        </w:rPr>
        <w:t xml:space="preserve">atrasadas </w:t>
      </w:r>
      <w:r w:rsidRPr="0088141F">
        <w:rPr>
          <w:rFonts w:ascii="Times New Roman" w:hAnsi="Times New Roman" w:cs="Times New Roman"/>
          <w:sz w:val="24"/>
          <w:szCs w:val="24"/>
        </w:rPr>
        <w:t>quando se referem aos efeitos ambientais e sociais. Assim, esse modelo passa por uma transição incompleta, ao dar sobrevida aos problemas estruturais, reforçando o desenvolvimento como um mito.</w:t>
      </w:r>
    </w:p>
    <w:p w14:paraId="139B3433" w14:textId="6CB20DD5"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 avanço das áreas </w:t>
      </w:r>
      <w:r w:rsidR="00266CAE">
        <w:rPr>
          <w:rFonts w:ascii="Times New Roman" w:hAnsi="Times New Roman" w:cs="Times New Roman"/>
          <w:sz w:val="24"/>
          <w:szCs w:val="24"/>
        </w:rPr>
        <w:t xml:space="preserve">totais </w:t>
      </w:r>
      <w:r w:rsidRPr="0088141F">
        <w:rPr>
          <w:rFonts w:ascii="Times New Roman" w:hAnsi="Times New Roman" w:cs="Times New Roman"/>
          <w:sz w:val="24"/>
          <w:szCs w:val="24"/>
        </w:rPr>
        <w:t xml:space="preserve">de lavouras temporárias no estado sobre o bioma amazônico é mais uma dessas evidências, conforme indica a </w:t>
      </w:r>
      <w:r w:rsidRPr="004E6491">
        <w:rPr>
          <w:rFonts w:ascii="Times New Roman" w:hAnsi="Times New Roman" w:cs="Times New Roman"/>
          <w:sz w:val="24"/>
          <w:szCs w:val="24"/>
        </w:rPr>
        <w:t>Figura 1</w:t>
      </w:r>
      <w:r w:rsidRPr="0088141F">
        <w:rPr>
          <w:rFonts w:ascii="Times New Roman" w:hAnsi="Times New Roman" w:cs="Times New Roman"/>
          <w:sz w:val="24"/>
          <w:szCs w:val="24"/>
        </w:rPr>
        <w:t xml:space="preserve">. </w:t>
      </w:r>
    </w:p>
    <w:p w14:paraId="442E4764" w14:textId="77777777" w:rsidR="00BA13CE" w:rsidRPr="0088141F" w:rsidRDefault="00BA13CE" w:rsidP="00AF5703">
      <w:pPr>
        <w:pStyle w:val="Legenda"/>
        <w:spacing w:after="0"/>
        <w:jc w:val="both"/>
        <w:rPr>
          <w:rFonts w:ascii="Times New Roman" w:hAnsi="Times New Roman"/>
          <w:b/>
          <w:i w:val="0"/>
          <w:color w:val="auto"/>
          <w:sz w:val="24"/>
          <w:szCs w:val="24"/>
        </w:rPr>
      </w:pPr>
      <w:bookmarkStart w:id="16" w:name="_Toc535092166"/>
      <w:bookmarkStart w:id="17" w:name="_Toc2204423"/>
    </w:p>
    <w:p w14:paraId="3E75B061" w14:textId="007B9408" w:rsidR="00977B76" w:rsidRPr="0088141F" w:rsidRDefault="00977B76" w:rsidP="00AF5703">
      <w:pPr>
        <w:pStyle w:val="Legenda"/>
        <w:spacing w:after="0"/>
        <w:jc w:val="both"/>
        <w:rPr>
          <w:rFonts w:ascii="Times New Roman" w:hAnsi="Times New Roman"/>
          <w:b/>
          <w:i w:val="0"/>
          <w:color w:val="auto"/>
          <w:sz w:val="24"/>
          <w:szCs w:val="24"/>
        </w:rPr>
      </w:pPr>
      <w:r w:rsidRPr="004E6491">
        <w:rPr>
          <w:rFonts w:ascii="Times New Roman" w:hAnsi="Times New Roman"/>
          <w:b/>
          <w:i w:val="0"/>
          <w:color w:val="auto"/>
          <w:sz w:val="24"/>
          <w:szCs w:val="24"/>
        </w:rPr>
        <w:t>Figura</w:t>
      </w:r>
      <w:r w:rsidR="00917EC9" w:rsidRPr="004E6491">
        <w:rPr>
          <w:rFonts w:ascii="Times New Roman" w:hAnsi="Times New Roman"/>
          <w:b/>
          <w:i w:val="0"/>
          <w:color w:val="auto"/>
          <w:sz w:val="24"/>
          <w:szCs w:val="24"/>
        </w:rPr>
        <w:t xml:space="preserve"> 1</w:t>
      </w:r>
      <w:r w:rsidRPr="004E6491">
        <w:rPr>
          <w:rFonts w:ascii="Times New Roman" w:hAnsi="Times New Roman"/>
          <w:b/>
          <w:i w:val="0"/>
          <w:color w:val="auto"/>
          <w:sz w:val="24"/>
          <w:szCs w:val="24"/>
        </w:rPr>
        <w:t xml:space="preserve">: Expansão das Áreas </w:t>
      </w:r>
      <w:r w:rsidR="00B9770E">
        <w:rPr>
          <w:rFonts w:ascii="Times New Roman" w:hAnsi="Times New Roman"/>
          <w:b/>
          <w:i w:val="0"/>
          <w:color w:val="auto"/>
          <w:sz w:val="24"/>
          <w:szCs w:val="24"/>
        </w:rPr>
        <w:t xml:space="preserve">Totais </w:t>
      </w:r>
      <w:r w:rsidRPr="004E6491">
        <w:rPr>
          <w:rFonts w:ascii="Times New Roman" w:hAnsi="Times New Roman"/>
          <w:b/>
          <w:i w:val="0"/>
          <w:color w:val="auto"/>
          <w:sz w:val="24"/>
          <w:szCs w:val="24"/>
        </w:rPr>
        <w:t>de Lavouras Temporárias, nos Municípios de Mato Grosso, entre 2006 e 2017</w:t>
      </w:r>
      <w:bookmarkEnd w:id="16"/>
      <w:r w:rsidRPr="004E6491">
        <w:rPr>
          <w:rFonts w:ascii="Times New Roman" w:hAnsi="Times New Roman"/>
          <w:b/>
          <w:i w:val="0"/>
          <w:color w:val="auto"/>
          <w:sz w:val="24"/>
          <w:szCs w:val="24"/>
        </w:rPr>
        <w:t>.</w:t>
      </w:r>
      <w:bookmarkEnd w:id="17"/>
    </w:p>
    <w:p w14:paraId="43FC460A" w14:textId="77777777" w:rsidR="00977B76" w:rsidRPr="0088141F" w:rsidRDefault="00977B76" w:rsidP="00AF5703">
      <w:pPr>
        <w:spacing w:after="0" w:line="240" w:lineRule="auto"/>
        <w:rPr>
          <w:rFonts w:ascii="Times New Roman" w:hAnsi="Times New Roman" w:cs="Times New Roman"/>
        </w:rPr>
      </w:pPr>
      <w:r w:rsidRPr="0088141F">
        <w:rPr>
          <w:rFonts w:ascii="Times New Roman" w:hAnsi="Times New Roman" w:cs="Times New Roman"/>
          <w:noProof/>
        </w:rPr>
        <w:drawing>
          <wp:inline distT="0" distB="0" distL="0" distR="0" wp14:anchorId="78E60B88" wp14:editId="2C5559DE">
            <wp:extent cx="5791200" cy="22955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0" cy="2295525"/>
                    </a:xfrm>
                    <a:prstGeom prst="rect">
                      <a:avLst/>
                    </a:prstGeom>
                    <a:noFill/>
                    <a:ln>
                      <a:noFill/>
                    </a:ln>
                  </pic:spPr>
                </pic:pic>
              </a:graphicData>
            </a:graphic>
          </wp:inline>
        </w:drawing>
      </w:r>
    </w:p>
    <w:p w14:paraId="4017CE71" w14:textId="4C0A8609" w:rsidR="00977B76" w:rsidRPr="0088141F" w:rsidRDefault="00977B76" w:rsidP="00AF5703">
      <w:pPr>
        <w:spacing w:after="0" w:line="240" w:lineRule="auto"/>
        <w:jc w:val="both"/>
        <w:rPr>
          <w:rFonts w:ascii="Times New Roman" w:hAnsi="Times New Roman" w:cs="Times New Roman"/>
        </w:rPr>
      </w:pPr>
      <w:r w:rsidRPr="0088141F">
        <w:rPr>
          <w:rFonts w:ascii="Times New Roman" w:hAnsi="Times New Roman" w:cs="Times New Roman"/>
          <w:b/>
        </w:rPr>
        <w:t>Fonte:</w:t>
      </w:r>
      <w:r w:rsidRPr="0088141F">
        <w:rPr>
          <w:rFonts w:ascii="Times New Roman" w:hAnsi="Times New Roman" w:cs="Times New Roman"/>
        </w:rPr>
        <w:t xml:space="preserve"> IBGE. Censo Agropecuário (2006); Resultado Censo Agropecuário (2017).</w:t>
      </w:r>
    </w:p>
    <w:p w14:paraId="6C579299" w14:textId="77777777" w:rsidR="00977B76" w:rsidRPr="0088141F" w:rsidRDefault="00977B76" w:rsidP="00AF5703">
      <w:pPr>
        <w:spacing w:after="0" w:line="240" w:lineRule="auto"/>
        <w:jc w:val="both"/>
        <w:rPr>
          <w:rFonts w:ascii="Times New Roman" w:hAnsi="Times New Roman" w:cs="Times New Roman"/>
          <w:sz w:val="24"/>
          <w:szCs w:val="24"/>
        </w:rPr>
      </w:pPr>
    </w:p>
    <w:p w14:paraId="769FF7B5" w14:textId="5B634A86"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Em 2017, os dados do Censo Agropecuário demonstram um avanço da produção temporária para a região Nordeste do Estado. Essa região, cortada pela BR 158, registra o aumento da área temporária na transição do Cerrado, nos municípios de Água Boa e Canarana, e no bioma Amazônico, em Querência. Es</w:t>
      </w:r>
      <w:r w:rsidR="00175AC3">
        <w:rPr>
          <w:rFonts w:ascii="Times New Roman" w:hAnsi="Times New Roman" w:cs="Times New Roman"/>
          <w:sz w:val="24"/>
          <w:szCs w:val="24"/>
        </w:rPr>
        <w:t>t</w:t>
      </w:r>
      <w:r w:rsidRPr="0088141F">
        <w:rPr>
          <w:rFonts w:ascii="Times New Roman" w:hAnsi="Times New Roman" w:cs="Times New Roman"/>
          <w:sz w:val="24"/>
          <w:szCs w:val="24"/>
        </w:rPr>
        <w:t xml:space="preserve">e último, passou a compor o grupo de municípios </w:t>
      </w:r>
      <w:r w:rsidRPr="0088141F">
        <w:rPr>
          <w:rFonts w:ascii="Times New Roman" w:hAnsi="Times New Roman" w:cs="Times New Roman"/>
          <w:sz w:val="24"/>
          <w:szCs w:val="24"/>
        </w:rPr>
        <w:lastRenderedPageBreak/>
        <w:t>com área de lavoura acima 350 mil hectares</w:t>
      </w:r>
      <w:r w:rsidR="00917EC9" w:rsidRPr="0088141F">
        <w:rPr>
          <w:rFonts w:ascii="Times New Roman" w:hAnsi="Times New Roman" w:cs="Times New Roman"/>
          <w:sz w:val="24"/>
          <w:szCs w:val="24"/>
        </w:rPr>
        <w:t xml:space="preserve"> em 2017</w:t>
      </w:r>
      <w:r w:rsidRPr="0088141F">
        <w:rPr>
          <w:rFonts w:ascii="Times New Roman" w:hAnsi="Times New Roman" w:cs="Times New Roman"/>
          <w:sz w:val="24"/>
          <w:szCs w:val="24"/>
        </w:rPr>
        <w:t xml:space="preserve">. Nessa região, a presença do Parque Indígena do Xingu, a oeste, impede a </w:t>
      </w:r>
      <w:r w:rsidR="00917EC9" w:rsidRPr="0088141F">
        <w:rPr>
          <w:rFonts w:ascii="Times New Roman" w:hAnsi="Times New Roman" w:cs="Times New Roman"/>
          <w:sz w:val="24"/>
          <w:szCs w:val="24"/>
        </w:rPr>
        <w:t>integração maior</w:t>
      </w:r>
      <w:r w:rsidRPr="0088141F">
        <w:rPr>
          <w:rFonts w:ascii="Times New Roman" w:hAnsi="Times New Roman" w:cs="Times New Roman"/>
          <w:sz w:val="24"/>
          <w:szCs w:val="24"/>
        </w:rPr>
        <w:t xml:space="preserve"> com as regiões norte e médio norte, pois não há </w:t>
      </w:r>
      <w:r w:rsidR="00917EC9" w:rsidRPr="0088141F">
        <w:rPr>
          <w:rFonts w:ascii="Times New Roman" w:hAnsi="Times New Roman" w:cs="Times New Roman"/>
          <w:sz w:val="24"/>
          <w:szCs w:val="24"/>
        </w:rPr>
        <w:t>rodovias</w:t>
      </w:r>
      <w:r w:rsidRPr="0088141F">
        <w:rPr>
          <w:rFonts w:ascii="Times New Roman" w:hAnsi="Times New Roman" w:cs="Times New Roman"/>
          <w:sz w:val="24"/>
          <w:szCs w:val="24"/>
        </w:rPr>
        <w:t xml:space="preserve">, de forma que a logística liga essa área diretamente ao Sul do Estado. </w:t>
      </w:r>
    </w:p>
    <w:p w14:paraId="71EECBF8"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Ainda, quanto a presença de áreas indígenas no Estado deve-se ressaltar o importante papel desempenhado pelas mesmas na conservação ambiental estadual, uma vez que se referem as áreas de maior proteção. Condição que deve ser rediscutida a partir de aberta a possibilidade de cultivo de lavouras temporárias, em larga escala, nessas comunidades.</w:t>
      </w:r>
    </w:p>
    <w:p w14:paraId="7113D49D"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Apesar do avanço da lavoura temporária ser mais expressivo no bioma Amazônico, pesquisas recentes demonstram, também, o avanço da lavoura de soja em áreas do Pantanal, nas superfícies de planície mais elevada e avançando para áreas de inundações, pelo uso de técnicas de drenagem das águas. O município de Poconé, que, em 2013, tinha uma produção inexpressiva de 2.635 toneladas de soja, em 2017, passou para 32.928 toneladas, com rendimento de 3.877 kg/ha</w:t>
      </w:r>
      <w:r w:rsidRPr="0088141F">
        <w:rPr>
          <w:rStyle w:val="Refdenotaderodap"/>
          <w:rFonts w:ascii="Times New Roman" w:hAnsi="Times New Roman" w:cs="Times New Roman"/>
          <w:sz w:val="24"/>
          <w:szCs w:val="24"/>
        </w:rPr>
        <w:footnoteReference w:id="18"/>
      </w:r>
      <w:r w:rsidRPr="0088141F">
        <w:rPr>
          <w:rFonts w:ascii="Times New Roman" w:hAnsi="Times New Roman" w:cs="Times New Roman"/>
          <w:sz w:val="24"/>
          <w:szCs w:val="24"/>
        </w:rPr>
        <w:t xml:space="preserve">, bem acima da média estadual de 3.290 (IBGE, </w:t>
      </w:r>
      <w:r w:rsidR="009C0F6E">
        <w:rPr>
          <w:rFonts w:ascii="Times New Roman" w:hAnsi="Times New Roman" w:cs="Times New Roman"/>
          <w:sz w:val="24"/>
          <w:szCs w:val="24"/>
        </w:rPr>
        <w:t>2018</w:t>
      </w:r>
      <w:r w:rsidRPr="0088141F">
        <w:rPr>
          <w:rFonts w:ascii="Times New Roman" w:hAnsi="Times New Roman" w:cs="Times New Roman"/>
          <w:sz w:val="24"/>
          <w:szCs w:val="24"/>
        </w:rPr>
        <w:t xml:space="preserve">). Para Rossetto e Nora (2016, p. 3), o avanço da produção para essa região representa “um indicador que a pecuária extensiva tradicional desenvolvida em equilíbrio com as características naturais está sendo substituída pela monocultura de grãos com elevado índice de insumos agrícolas”. </w:t>
      </w:r>
    </w:p>
    <w:p w14:paraId="79808BAA" w14:textId="77777777" w:rsidR="00977B76" w:rsidRPr="0088141F" w:rsidRDefault="00AF5703"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A </w:t>
      </w:r>
      <w:r w:rsidRPr="004E6491">
        <w:rPr>
          <w:rFonts w:ascii="Times New Roman" w:hAnsi="Times New Roman" w:cs="Times New Roman"/>
          <w:sz w:val="24"/>
          <w:szCs w:val="24"/>
        </w:rPr>
        <w:t>Tabela 4</w:t>
      </w:r>
      <w:r w:rsidR="00977B76" w:rsidRPr="0088141F">
        <w:rPr>
          <w:rFonts w:ascii="Times New Roman" w:hAnsi="Times New Roman" w:cs="Times New Roman"/>
          <w:sz w:val="24"/>
          <w:szCs w:val="24"/>
        </w:rPr>
        <w:t>, apresenta a evolução do número de estabelecimentos e da área colhida (total e média) dos principais produtos agrícolas no Brasil e no estado.</w:t>
      </w:r>
    </w:p>
    <w:p w14:paraId="537AFBE2" w14:textId="77777777" w:rsidR="00AF5703" w:rsidRPr="0088141F" w:rsidRDefault="00AF5703" w:rsidP="00AF5703">
      <w:pPr>
        <w:pStyle w:val="Legenda"/>
        <w:spacing w:after="0"/>
        <w:jc w:val="both"/>
        <w:rPr>
          <w:rFonts w:ascii="Times New Roman" w:hAnsi="Times New Roman"/>
          <w:b/>
          <w:i w:val="0"/>
          <w:color w:val="auto"/>
          <w:sz w:val="24"/>
          <w:szCs w:val="24"/>
        </w:rPr>
      </w:pPr>
      <w:bookmarkStart w:id="18" w:name="_Toc535263375"/>
      <w:bookmarkStart w:id="19" w:name="_Toc2204409"/>
    </w:p>
    <w:p w14:paraId="301DE225" w14:textId="77777777" w:rsidR="00977B76" w:rsidRDefault="00977B76" w:rsidP="00AF5703">
      <w:pPr>
        <w:pStyle w:val="Legenda"/>
        <w:spacing w:after="0"/>
        <w:jc w:val="both"/>
        <w:rPr>
          <w:rFonts w:ascii="Times New Roman" w:hAnsi="Times New Roman"/>
          <w:b/>
          <w:i w:val="0"/>
          <w:color w:val="auto"/>
          <w:sz w:val="24"/>
          <w:szCs w:val="24"/>
        </w:rPr>
      </w:pPr>
      <w:r w:rsidRPr="004E6491">
        <w:rPr>
          <w:rFonts w:ascii="Times New Roman" w:hAnsi="Times New Roman"/>
          <w:b/>
          <w:i w:val="0"/>
          <w:color w:val="auto"/>
          <w:sz w:val="24"/>
          <w:szCs w:val="24"/>
        </w:rPr>
        <w:t>Tabela</w:t>
      </w:r>
      <w:r w:rsidR="00AF5703" w:rsidRPr="004E6491">
        <w:rPr>
          <w:rFonts w:ascii="Times New Roman" w:hAnsi="Times New Roman"/>
          <w:b/>
          <w:i w:val="0"/>
          <w:color w:val="auto"/>
          <w:sz w:val="24"/>
          <w:szCs w:val="24"/>
        </w:rPr>
        <w:t xml:space="preserve"> 4</w:t>
      </w:r>
      <w:r w:rsidRPr="004E6491">
        <w:rPr>
          <w:rFonts w:ascii="Times New Roman" w:hAnsi="Times New Roman"/>
          <w:b/>
          <w:i w:val="0"/>
          <w:color w:val="auto"/>
          <w:sz w:val="24"/>
          <w:szCs w:val="24"/>
        </w:rPr>
        <w:t>: Evolução do Número de Estabelecimentos e Área Colhida (total e média) dos</w:t>
      </w:r>
      <w:r w:rsidRPr="0088141F">
        <w:rPr>
          <w:rFonts w:ascii="Times New Roman" w:hAnsi="Times New Roman"/>
          <w:b/>
          <w:i w:val="0"/>
          <w:color w:val="auto"/>
          <w:sz w:val="24"/>
          <w:szCs w:val="24"/>
        </w:rPr>
        <w:t xml:space="preserve"> Principais Produtos Agrícolas no Brasil e no Mato Grosso, para os Censos de 2006 e 2017.</w:t>
      </w:r>
      <w:bookmarkEnd w:id="18"/>
      <w:bookmarkEnd w:id="19"/>
    </w:p>
    <w:tbl>
      <w:tblPr>
        <w:tblW w:w="9174" w:type="dxa"/>
        <w:tblCellMar>
          <w:left w:w="70" w:type="dxa"/>
          <w:right w:w="70" w:type="dxa"/>
        </w:tblCellMar>
        <w:tblLook w:val="04A0" w:firstRow="1" w:lastRow="0" w:firstColumn="1" w:lastColumn="0" w:noHBand="0" w:noVBand="1"/>
      </w:tblPr>
      <w:tblGrid>
        <w:gridCol w:w="2268"/>
        <w:gridCol w:w="1276"/>
        <w:gridCol w:w="1040"/>
        <w:gridCol w:w="1217"/>
        <w:gridCol w:w="11"/>
        <w:gridCol w:w="1134"/>
        <w:gridCol w:w="1144"/>
        <w:gridCol w:w="1077"/>
        <w:gridCol w:w="7"/>
      </w:tblGrid>
      <w:tr w:rsidR="00DE697F" w:rsidRPr="00DE697F" w14:paraId="74BDF954" w14:textId="77777777" w:rsidTr="00DE697F">
        <w:trPr>
          <w:gridAfter w:val="1"/>
          <w:wAfter w:w="7" w:type="dxa"/>
          <w:trHeight w:val="20"/>
        </w:trPr>
        <w:tc>
          <w:tcPr>
            <w:tcW w:w="2268" w:type="dxa"/>
            <w:vMerge w:val="restart"/>
            <w:tcBorders>
              <w:top w:val="single" w:sz="8" w:space="0" w:color="auto"/>
              <w:left w:val="nil"/>
              <w:bottom w:val="single" w:sz="8" w:space="0" w:color="000000"/>
              <w:right w:val="nil"/>
            </w:tcBorders>
            <w:shd w:val="clear" w:color="auto" w:fill="auto"/>
            <w:noWrap/>
            <w:vAlign w:val="center"/>
            <w:hideMark/>
          </w:tcPr>
          <w:p w14:paraId="05798581"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Produto</w:t>
            </w:r>
          </w:p>
        </w:tc>
        <w:tc>
          <w:tcPr>
            <w:tcW w:w="6899" w:type="dxa"/>
            <w:gridSpan w:val="7"/>
            <w:tcBorders>
              <w:top w:val="single" w:sz="8" w:space="0" w:color="auto"/>
              <w:left w:val="nil"/>
              <w:bottom w:val="single" w:sz="8" w:space="0" w:color="auto"/>
              <w:right w:val="nil"/>
            </w:tcBorders>
            <w:shd w:val="clear" w:color="auto" w:fill="auto"/>
            <w:noWrap/>
            <w:vAlign w:val="center"/>
            <w:hideMark/>
          </w:tcPr>
          <w:p w14:paraId="22035419"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Brasil</w:t>
            </w:r>
          </w:p>
        </w:tc>
      </w:tr>
      <w:tr w:rsidR="00DE697F" w:rsidRPr="00DE697F" w14:paraId="4283AD23" w14:textId="77777777" w:rsidTr="00DE697F">
        <w:trPr>
          <w:gridAfter w:val="1"/>
          <w:wAfter w:w="7" w:type="dxa"/>
          <w:trHeight w:val="20"/>
        </w:trPr>
        <w:tc>
          <w:tcPr>
            <w:tcW w:w="2268" w:type="dxa"/>
            <w:vMerge/>
            <w:tcBorders>
              <w:top w:val="single" w:sz="8" w:space="0" w:color="auto"/>
              <w:left w:val="nil"/>
              <w:bottom w:val="single" w:sz="8" w:space="0" w:color="000000"/>
              <w:right w:val="nil"/>
            </w:tcBorders>
            <w:vAlign w:val="center"/>
            <w:hideMark/>
          </w:tcPr>
          <w:p w14:paraId="3712F8D6"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p>
        </w:tc>
        <w:tc>
          <w:tcPr>
            <w:tcW w:w="3533" w:type="dxa"/>
            <w:gridSpan w:val="3"/>
            <w:tcBorders>
              <w:top w:val="single" w:sz="8" w:space="0" w:color="auto"/>
              <w:left w:val="nil"/>
              <w:bottom w:val="single" w:sz="8" w:space="0" w:color="auto"/>
              <w:right w:val="nil"/>
            </w:tcBorders>
            <w:shd w:val="clear" w:color="auto" w:fill="auto"/>
            <w:noWrap/>
            <w:vAlign w:val="center"/>
            <w:hideMark/>
          </w:tcPr>
          <w:p w14:paraId="6DE1042E"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2006</w:t>
            </w:r>
          </w:p>
        </w:tc>
        <w:tc>
          <w:tcPr>
            <w:tcW w:w="3366" w:type="dxa"/>
            <w:gridSpan w:val="4"/>
            <w:tcBorders>
              <w:top w:val="single" w:sz="8" w:space="0" w:color="auto"/>
              <w:left w:val="nil"/>
              <w:bottom w:val="single" w:sz="8" w:space="0" w:color="auto"/>
              <w:right w:val="nil"/>
            </w:tcBorders>
            <w:shd w:val="clear" w:color="auto" w:fill="auto"/>
            <w:noWrap/>
            <w:vAlign w:val="center"/>
            <w:hideMark/>
          </w:tcPr>
          <w:p w14:paraId="6C6A3BC4"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2017</w:t>
            </w:r>
          </w:p>
        </w:tc>
      </w:tr>
      <w:tr w:rsidR="00DE697F" w:rsidRPr="00DE697F" w14:paraId="5D307284" w14:textId="77777777" w:rsidTr="00DE697F">
        <w:trPr>
          <w:trHeight w:val="20"/>
        </w:trPr>
        <w:tc>
          <w:tcPr>
            <w:tcW w:w="2268" w:type="dxa"/>
            <w:vMerge/>
            <w:tcBorders>
              <w:top w:val="single" w:sz="8" w:space="0" w:color="auto"/>
              <w:left w:val="nil"/>
              <w:bottom w:val="single" w:sz="8" w:space="0" w:color="000000"/>
              <w:right w:val="nil"/>
            </w:tcBorders>
            <w:vAlign w:val="center"/>
            <w:hideMark/>
          </w:tcPr>
          <w:p w14:paraId="5095F6F3"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p>
        </w:tc>
        <w:tc>
          <w:tcPr>
            <w:tcW w:w="1276" w:type="dxa"/>
            <w:tcBorders>
              <w:top w:val="nil"/>
              <w:left w:val="nil"/>
              <w:bottom w:val="single" w:sz="8" w:space="0" w:color="auto"/>
              <w:right w:val="nil"/>
            </w:tcBorders>
            <w:shd w:val="clear" w:color="auto" w:fill="auto"/>
            <w:noWrap/>
            <w:vAlign w:val="center"/>
            <w:hideMark/>
          </w:tcPr>
          <w:p w14:paraId="242F9CF3"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 xml:space="preserve">N. </w:t>
            </w:r>
            <w:proofErr w:type="spellStart"/>
            <w:r w:rsidRPr="00DE697F">
              <w:rPr>
                <w:rFonts w:ascii="Times New Roman" w:eastAsia="Times New Roman" w:hAnsi="Times New Roman" w:cs="Times New Roman"/>
                <w:b/>
                <w:bCs/>
                <w:color w:val="000000"/>
                <w:sz w:val="20"/>
                <w:szCs w:val="20"/>
              </w:rPr>
              <w:t>Estabel</w:t>
            </w:r>
            <w:proofErr w:type="spellEnd"/>
            <w:r w:rsidRPr="00DE697F">
              <w:rPr>
                <w:rFonts w:ascii="Times New Roman" w:eastAsia="Times New Roman" w:hAnsi="Times New Roman" w:cs="Times New Roman"/>
                <w:b/>
                <w:bCs/>
                <w:color w:val="000000"/>
                <w:sz w:val="20"/>
                <w:szCs w:val="20"/>
              </w:rPr>
              <w:t>.</w:t>
            </w:r>
          </w:p>
        </w:tc>
        <w:tc>
          <w:tcPr>
            <w:tcW w:w="1040" w:type="dxa"/>
            <w:tcBorders>
              <w:top w:val="nil"/>
              <w:left w:val="nil"/>
              <w:bottom w:val="single" w:sz="8" w:space="0" w:color="auto"/>
              <w:right w:val="nil"/>
            </w:tcBorders>
            <w:shd w:val="clear" w:color="auto" w:fill="auto"/>
            <w:noWrap/>
            <w:vAlign w:val="center"/>
            <w:hideMark/>
          </w:tcPr>
          <w:p w14:paraId="51A4D37E"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Total</w:t>
            </w:r>
          </w:p>
        </w:tc>
        <w:tc>
          <w:tcPr>
            <w:tcW w:w="1228" w:type="dxa"/>
            <w:gridSpan w:val="2"/>
            <w:tcBorders>
              <w:top w:val="nil"/>
              <w:left w:val="nil"/>
              <w:bottom w:val="single" w:sz="8" w:space="0" w:color="auto"/>
              <w:right w:val="nil"/>
            </w:tcBorders>
            <w:shd w:val="clear" w:color="auto" w:fill="auto"/>
            <w:noWrap/>
            <w:vAlign w:val="center"/>
            <w:hideMark/>
          </w:tcPr>
          <w:p w14:paraId="3B5271F9"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Média</w:t>
            </w:r>
          </w:p>
        </w:tc>
        <w:tc>
          <w:tcPr>
            <w:tcW w:w="1134" w:type="dxa"/>
            <w:tcBorders>
              <w:top w:val="nil"/>
              <w:left w:val="nil"/>
              <w:bottom w:val="single" w:sz="8" w:space="0" w:color="auto"/>
              <w:right w:val="nil"/>
            </w:tcBorders>
            <w:shd w:val="clear" w:color="auto" w:fill="auto"/>
            <w:noWrap/>
            <w:vAlign w:val="center"/>
            <w:hideMark/>
          </w:tcPr>
          <w:p w14:paraId="64EB3831"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 xml:space="preserve">N. </w:t>
            </w:r>
            <w:proofErr w:type="spellStart"/>
            <w:r w:rsidRPr="00DE697F">
              <w:rPr>
                <w:rFonts w:ascii="Times New Roman" w:eastAsia="Times New Roman" w:hAnsi="Times New Roman" w:cs="Times New Roman"/>
                <w:b/>
                <w:bCs/>
                <w:color w:val="000000"/>
                <w:sz w:val="20"/>
                <w:szCs w:val="20"/>
              </w:rPr>
              <w:t>Estabel</w:t>
            </w:r>
            <w:proofErr w:type="spellEnd"/>
            <w:r w:rsidRPr="00DE697F">
              <w:rPr>
                <w:rFonts w:ascii="Times New Roman" w:eastAsia="Times New Roman" w:hAnsi="Times New Roman" w:cs="Times New Roman"/>
                <w:b/>
                <w:bCs/>
                <w:color w:val="000000"/>
                <w:sz w:val="20"/>
                <w:szCs w:val="20"/>
              </w:rPr>
              <w:t>.</w:t>
            </w:r>
          </w:p>
        </w:tc>
        <w:tc>
          <w:tcPr>
            <w:tcW w:w="1144" w:type="dxa"/>
            <w:tcBorders>
              <w:top w:val="nil"/>
              <w:left w:val="nil"/>
              <w:bottom w:val="single" w:sz="8" w:space="0" w:color="auto"/>
              <w:right w:val="nil"/>
            </w:tcBorders>
            <w:shd w:val="clear" w:color="auto" w:fill="auto"/>
            <w:noWrap/>
            <w:vAlign w:val="center"/>
            <w:hideMark/>
          </w:tcPr>
          <w:p w14:paraId="2ED7AEBB"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Total</w:t>
            </w:r>
          </w:p>
        </w:tc>
        <w:tc>
          <w:tcPr>
            <w:tcW w:w="1084" w:type="dxa"/>
            <w:gridSpan w:val="2"/>
            <w:tcBorders>
              <w:top w:val="nil"/>
              <w:left w:val="nil"/>
              <w:bottom w:val="single" w:sz="8" w:space="0" w:color="auto"/>
              <w:right w:val="nil"/>
            </w:tcBorders>
            <w:shd w:val="clear" w:color="auto" w:fill="auto"/>
            <w:noWrap/>
            <w:vAlign w:val="center"/>
            <w:hideMark/>
          </w:tcPr>
          <w:p w14:paraId="23570A3C"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Média</w:t>
            </w:r>
          </w:p>
        </w:tc>
      </w:tr>
      <w:tr w:rsidR="00DE697F" w:rsidRPr="00DE697F" w14:paraId="6C6044E2" w14:textId="77777777" w:rsidTr="00DE697F">
        <w:trPr>
          <w:trHeight w:val="20"/>
        </w:trPr>
        <w:tc>
          <w:tcPr>
            <w:tcW w:w="2268" w:type="dxa"/>
            <w:tcBorders>
              <w:top w:val="nil"/>
              <w:left w:val="nil"/>
              <w:bottom w:val="nil"/>
              <w:right w:val="nil"/>
            </w:tcBorders>
            <w:shd w:val="clear" w:color="auto" w:fill="auto"/>
            <w:noWrap/>
            <w:vAlign w:val="center"/>
            <w:hideMark/>
          </w:tcPr>
          <w:p w14:paraId="26A6202D"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Algodão herbáceo</w:t>
            </w:r>
          </w:p>
        </w:tc>
        <w:tc>
          <w:tcPr>
            <w:tcW w:w="1276" w:type="dxa"/>
            <w:tcBorders>
              <w:top w:val="nil"/>
              <w:left w:val="nil"/>
              <w:bottom w:val="nil"/>
              <w:right w:val="nil"/>
            </w:tcBorders>
            <w:shd w:val="clear" w:color="auto" w:fill="auto"/>
            <w:noWrap/>
            <w:vAlign w:val="center"/>
            <w:hideMark/>
          </w:tcPr>
          <w:p w14:paraId="4E2D193E"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13.290</w:t>
            </w:r>
          </w:p>
        </w:tc>
        <w:tc>
          <w:tcPr>
            <w:tcW w:w="1040" w:type="dxa"/>
            <w:tcBorders>
              <w:top w:val="nil"/>
              <w:left w:val="nil"/>
              <w:bottom w:val="nil"/>
              <w:right w:val="nil"/>
            </w:tcBorders>
            <w:shd w:val="clear" w:color="auto" w:fill="auto"/>
            <w:noWrap/>
            <w:vAlign w:val="center"/>
            <w:hideMark/>
          </w:tcPr>
          <w:p w14:paraId="332E3086"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859.025</w:t>
            </w:r>
          </w:p>
        </w:tc>
        <w:tc>
          <w:tcPr>
            <w:tcW w:w="1228" w:type="dxa"/>
            <w:gridSpan w:val="2"/>
            <w:tcBorders>
              <w:top w:val="nil"/>
              <w:left w:val="nil"/>
              <w:bottom w:val="nil"/>
              <w:right w:val="nil"/>
            </w:tcBorders>
            <w:shd w:val="clear" w:color="auto" w:fill="auto"/>
            <w:noWrap/>
            <w:vAlign w:val="center"/>
            <w:hideMark/>
          </w:tcPr>
          <w:p w14:paraId="0E0845B9"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64,64</w:t>
            </w:r>
          </w:p>
        </w:tc>
        <w:tc>
          <w:tcPr>
            <w:tcW w:w="1134" w:type="dxa"/>
            <w:tcBorders>
              <w:top w:val="nil"/>
              <w:left w:val="nil"/>
              <w:bottom w:val="nil"/>
              <w:right w:val="nil"/>
            </w:tcBorders>
            <w:shd w:val="clear" w:color="auto" w:fill="auto"/>
            <w:noWrap/>
            <w:vAlign w:val="bottom"/>
            <w:hideMark/>
          </w:tcPr>
          <w:p w14:paraId="6E6770C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3.224</w:t>
            </w:r>
          </w:p>
        </w:tc>
        <w:tc>
          <w:tcPr>
            <w:tcW w:w="1144" w:type="dxa"/>
            <w:tcBorders>
              <w:top w:val="nil"/>
              <w:left w:val="nil"/>
              <w:bottom w:val="nil"/>
              <w:right w:val="nil"/>
            </w:tcBorders>
            <w:shd w:val="clear" w:color="auto" w:fill="auto"/>
            <w:noWrap/>
            <w:vAlign w:val="bottom"/>
            <w:hideMark/>
          </w:tcPr>
          <w:p w14:paraId="115F0A7E"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912.563</w:t>
            </w:r>
          </w:p>
        </w:tc>
        <w:tc>
          <w:tcPr>
            <w:tcW w:w="1084" w:type="dxa"/>
            <w:gridSpan w:val="2"/>
            <w:tcBorders>
              <w:top w:val="nil"/>
              <w:left w:val="nil"/>
              <w:bottom w:val="nil"/>
              <w:right w:val="nil"/>
            </w:tcBorders>
            <w:shd w:val="clear" w:color="auto" w:fill="auto"/>
            <w:noWrap/>
            <w:vAlign w:val="center"/>
            <w:hideMark/>
          </w:tcPr>
          <w:p w14:paraId="0622493C"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283,05</w:t>
            </w:r>
          </w:p>
        </w:tc>
      </w:tr>
      <w:tr w:rsidR="00DE697F" w:rsidRPr="00DE697F" w14:paraId="2685C12E" w14:textId="77777777" w:rsidTr="00DE697F">
        <w:trPr>
          <w:trHeight w:val="20"/>
        </w:trPr>
        <w:tc>
          <w:tcPr>
            <w:tcW w:w="2268" w:type="dxa"/>
            <w:tcBorders>
              <w:top w:val="nil"/>
              <w:left w:val="nil"/>
              <w:bottom w:val="nil"/>
              <w:right w:val="nil"/>
            </w:tcBorders>
            <w:shd w:val="clear" w:color="auto" w:fill="auto"/>
            <w:noWrap/>
            <w:vAlign w:val="center"/>
            <w:hideMark/>
          </w:tcPr>
          <w:p w14:paraId="443F73E2"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Arroz Casca</w:t>
            </w:r>
          </w:p>
        </w:tc>
        <w:tc>
          <w:tcPr>
            <w:tcW w:w="1276" w:type="dxa"/>
            <w:tcBorders>
              <w:top w:val="nil"/>
              <w:left w:val="nil"/>
              <w:bottom w:val="nil"/>
              <w:right w:val="nil"/>
            </w:tcBorders>
            <w:shd w:val="clear" w:color="auto" w:fill="auto"/>
            <w:noWrap/>
            <w:vAlign w:val="center"/>
            <w:hideMark/>
          </w:tcPr>
          <w:p w14:paraId="514D8097"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396.628</w:t>
            </w:r>
          </w:p>
        </w:tc>
        <w:tc>
          <w:tcPr>
            <w:tcW w:w="1040" w:type="dxa"/>
            <w:tcBorders>
              <w:top w:val="nil"/>
              <w:left w:val="nil"/>
              <w:bottom w:val="nil"/>
              <w:right w:val="nil"/>
            </w:tcBorders>
            <w:shd w:val="clear" w:color="auto" w:fill="auto"/>
            <w:noWrap/>
            <w:vAlign w:val="center"/>
            <w:hideMark/>
          </w:tcPr>
          <w:p w14:paraId="254AF26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2.417.611</w:t>
            </w:r>
          </w:p>
        </w:tc>
        <w:tc>
          <w:tcPr>
            <w:tcW w:w="1228" w:type="dxa"/>
            <w:gridSpan w:val="2"/>
            <w:tcBorders>
              <w:top w:val="nil"/>
              <w:left w:val="nil"/>
              <w:bottom w:val="nil"/>
              <w:right w:val="nil"/>
            </w:tcBorders>
            <w:shd w:val="clear" w:color="auto" w:fill="auto"/>
            <w:noWrap/>
            <w:vAlign w:val="center"/>
            <w:hideMark/>
          </w:tcPr>
          <w:p w14:paraId="47413EB1"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6,1</w:t>
            </w:r>
          </w:p>
        </w:tc>
        <w:tc>
          <w:tcPr>
            <w:tcW w:w="1134" w:type="dxa"/>
            <w:tcBorders>
              <w:top w:val="nil"/>
              <w:left w:val="nil"/>
              <w:bottom w:val="nil"/>
              <w:right w:val="nil"/>
            </w:tcBorders>
            <w:shd w:val="clear" w:color="auto" w:fill="auto"/>
            <w:noWrap/>
            <w:vAlign w:val="bottom"/>
            <w:hideMark/>
          </w:tcPr>
          <w:p w14:paraId="2D0EE2C5"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179.881</w:t>
            </w:r>
          </w:p>
        </w:tc>
        <w:tc>
          <w:tcPr>
            <w:tcW w:w="1144" w:type="dxa"/>
            <w:tcBorders>
              <w:top w:val="nil"/>
              <w:left w:val="nil"/>
              <w:bottom w:val="nil"/>
              <w:right w:val="nil"/>
            </w:tcBorders>
            <w:shd w:val="clear" w:color="auto" w:fill="auto"/>
            <w:noWrap/>
            <w:vAlign w:val="bottom"/>
            <w:hideMark/>
          </w:tcPr>
          <w:p w14:paraId="2F1E6A92"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1.716.600</w:t>
            </w:r>
          </w:p>
        </w:tc>
        <w:tc>
          <w:tcPr>
            <w:tcW w:w="1084" w:type="dxa"/>
            <w:gridSpan w:val="2"/>
            <w:tcBorders>
              <w:top w:val="nil"/>
              <w:left w:val="nil"/>
              <w:bottom w:val="nil"/>
              <w:right w:val="nil"/>
            </w:tcBorders>
            <w:shd w:val="clear" w:color="auto" w:fill="auto"/>
            <w:noWrap/>
            <w:vAlign w:val="center"/>
            <w:hideMark/>
          </w:tcPr>
          <w:p w14:paraId="3CEB360F"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9,54</w:t>
            </w:r>
          </w:p>
        </w:tc>
      </w:tr>
      <w:tr w:rsidR="00DE697F" w:rsidRPr="00DE697F" w14:paraId="01D03A30" w14:textId="77777777" w:rsidTr="00DE697F">
        <w:trPr>
          <w:trHeight w:val="20"/>
        </w:trPr>
        <w:tc>
          <w:tcPr>
            <w:tcW w:w="2268" w:type="dxa"/>
            <w:tcBorders>
              <w:top w:val="nil"/>
              <w:left w:val="nil"/>
              <w:bottom w:val="nil"/>
              <w:right w:val="nil"/>
            </w:tcBorders>
            <w:shd w:val="clear" w:color="auto" w:fill="auto"/>
            <w:noWrap/>
            <w:vAlign w:val="center"/>
            <w:hideMark/>
          </w:tcPr>
          <w:p w14:paraId="7450D27B"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Cana-de-açúcar</w:t>
            </w:r>
          </w:p>
        </w:tc>
        <w:tc>
          <w:tcPr>
            <w:tcW w:w="1276" w:type="dxa"/>
            <w:tcBorders>
              <w:top w:val="nil"/>
              <w:left w:val="nil"/>
              <w:bottom w:val="nil"/>
              <w:right w:val="nil"/>
            </w:tcBorders>
            <w:shd w:val="clear" w:color="auto" w:fill="auto"/>
            <w:noWrap/>
            <w:vAlign w:val="center"/>
            <w:hideMark/>
          </w:tcPr>
          <w:p w14:paraId="5BA7B18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192.931</w:t>
            </w:r>
          </w:p>
        </w:tc>
        <w:tc>
          <w:tcPr>
            <w:tcW w:w="1040" w:type="dxa"/>
            <w:tcBorders>
              <w:top w:val="nil"/>
              <w:left w:val="nil"/>
              <w:bottom w:val="nil"/>
              <w:right w:val="nil"/>
            </w:tcBorders>
            <w:shd w:val="clear" w:color="auto" w:fill="auto"/>
            <w:noWrap/>
            <w:vAlign w:val="center"/>
            <w:hideMark/>
          </w:tcPr>
          <w:p w14:paraId="4B52FAE3"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5.682.297</w:t>
            </w:r>
          </w:p>
        </w:tc>
        <w:tc>
          <w:tcPr>
            <w:tcW w:w="1228" w:type="dxa"/>
            <w:gridSpan w:val="2"/>
            <w:tcBorders>
              <w:top w:val="nil"/>
              <w:left w:val="nil"/>
              <w:bottom w:val="nil"/>
              <w:right w:val="nil"/>
            </w:tcBorders>
            <w:shd w:val="clear" w:color="auto" w:fill="auto"/>
            <w:noWrap/>
            <w:vAlign w:val="center"/>
            <w:hideMark/>
          </w:tcPr>
          <w:p w14:paraId="496FA4B1"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29,45</w:t>
            </w:r>
          </w:p>
        </w:tc>
        <w:tc>
          <w:tcPr>
            <w:tcW w:w="1134" w:type="dxa"/>
            <w:tcBorders>
              <w:top w:val="nil"/>
              <w:left w:val="nil"/>
              <w:bottom w:val="nil"/>
              <w:right w:val="nil"/>
            </w:tcBorders>
            <w:shd w:val="clear" w:color="auto" w:fill="auto"/>
            <w:noWrap/>
            <w:vAlign w:val="bottom"/>
            <w:hideMark/>
          </w:tcPr>
          <w:p w14:paraId="5B0DE60D"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171.348</w:t>
            </w:r>
          </w:p>
        </w:tc>
        <w:tc>
          <w:tcPr>
            <w:tcW w:w="1144" w:type="dxa"/>
            <w:tcBorders>
              <w:top w:val="nil"/>
              <w:left w:val="nil"/>
              <w:bottom w:val="nil"/>
              <w:right w:val="nil"/>
            </w:tcBorders>
            <w:shd w:val="clear" w:color="auto" w:fill="auto"/>
            <w:noWrap/>
            <w:vAlign w:val="bottom"/>
            <w:hideMark/>
          </w:tcPr>
          <w:p w14:paraId="3F3F7310"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9.127.645</w:t>
            </w:r>
          </w:p>
        </w:tc>
        <w:tc>
          <w:tcPr>
            <w:tcW w:w="1084" w:type="dxa"/>
            <w:gridSpan w:val="2"/>
            <w:tcBorders>
              <w:top w:val="nil"/>
              <w:left w:val="nil"/>
              <w:bottom w:val="nil"/>
              <w:right w:val="nil"/>
            </w:tcBorders>
            <w:shd w:val="clear" w:color="auto" w:fill="auto"/>
            <w:noWrap/>
            <w:vAlign w:val="center"/>
            <w:hideMark/>
          </w:tcPr>
          <w:p w14:paraId="002E0DB3"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53,27</w:t>
            </w:r>
          </w:p>
        </w:tc>
      </w:tr>
      <w:tr w:rsidR="00DE697F" w:rsidRPr="00DE697F" w14:paraId="00DBB836" w14:textId="77777777" w:rsidTr="00DE697F">
        <w:trPr>
          <w:trHeight w:val="20"/>
        </w:trPr>
        <w:tc>
          <w:tcPr>
            <w:tcW w:w="2268" w:type="dxa"/>
            <w:tcBorders>
              <w:top w:val="nil"/>
              <w:left w:val="nil"/>
              <w:bottom w:val="nil"/>
              <w:right w:val="nil"/>
            </w:tcBorders>
            <w:shd w:val="clear" w:color="auto" w:fill="auto"/>
            <w:noWrap/>
            <w:vAlign w:val="center"/>
            <w:hideMark/>
          </w:tcPr>
          <w:p w14:paraId="2C54F2B8"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Feijão fradinho em grão</w:t>
            </w:r>
          </w:p>
        </w:tc>
        <w:tc>
          <w:tcPr>
            <w:tcW w:w="1276" w:type="dxa"/>
            <w:tcBorders>
              <w:top w:val="nil"/>
              <w:left w:val="nil"/>
              <w:bottom w:val="nil"/>
              <w:right w:val="nil"/>
            </w:tcBorders>
            <w:shd w:val="clear" w:color="auto" w:fill="auto"/>
            <w:noWrap/>
            <w:vAlign w:val="center"/>
            <w:hideMark/>
          </w:tcPr>
          <w:p w14:paraId="51F0564C"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811.592</w:t>
            </w:r>
          </w:p>
        </w:tc>
        <w:tc>
          <w:tcPr>
            <w:tcW w:w="1040" w:type="dxa"/>
            <w:tcBorders>
              <w:top w:val="nil"/>
              <w:left w:val="nil"/>
              <w:bottom w:val="nil"/>
              <w:right w:val="nil"/>
            </w:tcBorders>
            <w:shd w:val="clear" w:color="auto" w:fill="auto"/>
            <w:noWrap/>
            <w:vAlign w:val="center"/>
            <w:hideMark/>
          </w:tcPr>
          <w:p w14:paraId="0C2B76E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2.189.768</w:t>
            </w:r>
          </w:p>
        </w:tc>
        <w:tc>
          <w:tcPr>
            <w:tcW w:w="1228" w:type="dxa"/>
            <w:gridSpan w:val="2"/>
            <w:tcBorders>
              <w:top w:val="nil"/>
              <w:left w:val="nil"/>
              <w:bottom w:val="nil"/>
              <w:right w:val="nil"/>
            </w:tcBorders>
            <w:shd w:val="clear" w:color="auto" w:fill="auto"/>
            <w:noWrap/>
            <w:vAlign w:val="center"/>
            <w:hideMark/>
          </w:tcPr>
          <w:p w14:paraId="7A7DD44F"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2,7</w:t>
            </w:r>
          </w:p>
        </w:tc>
        <w:tc>
          <w:tcPr>
            <w:tcW w:w="1134" w:type="dxa"/>
            <w:tcBorders>
              <w:top w:val="nil"/>
              <w:left w:val="nil"/>
              <w:bottom w:val="nil"/>
              <w:right w:val="nil"/>
            </w:tcBorders>
            <w:shd w:val="clear" w:color="auto" w:fill="auto"/>
            <w:noWrap/>
            <w:vAlign w:val="bottom"/>
            <w:hideMark/>
          </w:tcPr>
          <w:p w14:paraId="4846CAB8"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932.947</w:t>
            </w:r>
          </w:p>
        </w:tc>
        <w:tc>
          <w:tcPr>
            <w:tcW w:w="1144" w:type="dxa"/>
            <w:tcBorders>
              <w:top w:val="nil"/>
              <w:left w:val="nil"/>
              <w:bottom w:val="nil"/>
              <w:right w:val="nil"/>
            </w:tcBorders>
            <w:shd w:val="clear" w:color="auto" w:fill="auto"/>
            <w:noWrap/>
            <w:vAlign w:val="bottom"/>
            <w:hideMark/>
          </w:tcPr>
          <w:p w14:paraId="5EDBBD99"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928.691</w:t>
            </w:r>
          </w:p>
        </w:tc>
        <w:tc>
          <w:tcPr>
            <w:tcW w:w="1084" w:type="dxa"/>
            <w:gridSpan w:val="2"/>
            <w:tcBorders>
              <w:top w:val="nil"/>
              <w:left w:val="nil"/>
              <w:bottom w:val="nil"/>
              <w:right w:val="nil"/>
            </w:tcBorders>
            <w:shd w:val="clear" w:color="auto" w:fill="auto"/>
            <w:noWrap/>
            <w:vAlign w:val="center"/>
            <w:hideMark/>
          </w:tcPr>
          <w:p w14:paraId="2F057EBC"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1,00</w:t>
            </w:r>
          </w:p>
        </w:tc>
      </w:tr>
      <w:tr w:rsidR="00DE697F" w:rsidRPr="00DE697F" w14:paraId="0355D169" w14:textId="77777777" w:rsidTr="00DE697F">
        <w:trPr>
          <w:trHeight w:val="20"/>
        </w:trPr>
        <w:tc>
          <w:tcPr>
            <w:tcW w:w="2268" w:type="dxa"/>
            <w:tcBorders>
              <w:top w:val="nil"/>
              <w:left w:val="nil"/>
              <w:bottom w:val="nil"/>
              <w:right w:val="nil"/>
            </w:tcBorders>
            <w:shd w:val="clear" w:color="auto" w:fill="auto"/>
            <w:noWrap/>
            <w:vAlign w:val="center"/>
            <w:hideMark/>
          </w:tcPr>
          <w:p w14:paraId="08368ECB"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Mandioca</w:t>
            </w:r>
          </w:p>
        </w:tc>
        <w:tc>
          <w:tcPr>
            <w:tcW w:w="1276" w:type="dxa"/>
            <w:tcBorders>
              <w:top w:val="nil"/>
              <w:left w:val="nil"/>
              <w:bottom w:val="nil"/>
              <w:right w:val="nil"/>
            </w:tcBorders>
            <w:shd w:val="clear" w:color="auto" w:fill="auto"/>
            <w:noWrap/>
            <w:vAlign w:val="center"/>
            <w:hideMark/>
          </w:tcPr>
          <w:p w14:paraId="3010A47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832.189</w:t>
            </w:r>
          </w:p>
        </w:tc>
        <w:tc>
          <w:tcPr>
            <w:tcW w:w="1040" w:type="dxa"/>
            <w:tcBorders>
              <w:top w:val="nil"/>
              <w:left w:val="nil"/>
              <w:bottom w:val="nil"/>
              <w:right w:val="nil"/>
            </w:tcBorders>
            <w:shd w:val="clear" w:color="auto" w:fill="auto"/>
            <w:noWrap/>
            <w:vAlign w:val="center"/>
            <w:hideMark/>
          </w:tcPr>
          <w:p w14:paraId="098145DA"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1.708.398</w:t>
            </w:r>
          </w:p>
        </w:tc>
        <w:tc>
          <w:tcPr>
            <w:tcW w:w="1228" w:type="dxa"/>
            <w:gridSpan w:val="2"/>
            <w:tcBorders>
              <w:top w:val="nil"/>
              <w:left w:val="nil"/>
              <w:bottom w:val="nil"/>
              <w:right w:val="nil"/>
            </w:tcBorders>
            <w:shd w:val="clear" w:color="auto" w:fill="auto"/>
            <w:noWrap/>
            <w:vAlign w:val="center"/>
            <w:hideMark/>
          </w:tcPr>
          <w:p w14:paraId="3F618045"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2,05</w:t>
            </w:r>
          </w:p>
        </w:tc>
        <w:tc>
          <w:tcPr>
            <w:tcW w:w="1134" w:type="dxa"/>
            <w:tcBorders>
              <w:top w:val="nil"/>
              <w:left w:val="nil"/>
              <w:bottom w:val="nil"/>
              <w:right w:val="nil"/>
            </w:tcBorders>
            <w:shd w:val="clear" w:color="auto" w:fill="auto"/>
            <w:noWrap/>
            <w:vAlign w:val="bottom"/>
            <w:hideMark/>
          </w:tcPr>
          <w:p w14:paraId="1A829E83"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974.211</w:t>
            </w:r>
          </w:p>
        </w:tc>
        <w:tc>
          <w:tcPr>
            <w:tcW w:w="1144" w:type="dxa"/>
            <w:tcBorders>
              <w:top w:val="nil"/>
              <w:left w:val="nil"/>
              <w:bottom w:val="nil"/>
              <w:right w:val="nil"/>
            </w:tcBorders>
            <w:shd w:val="clear" w:color="auto" w:fill="auto"/>
            <w:noWrap/>
            <w:vAlign w:val="bottom"/>
            <w:hideMark/>
          </w:tcPr>
          <w:p w14:paraId="2007D5A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740.611</w:t>
            </w:r>
          </w:p>
        </w:tc>
        <w:tc>
          <w:tcPr>
            <w:tcW w:w="1084" w:type="dxa"/>
            <w:gridSpan w:val="2"/>
            <w:tcBorders>
              <w:top w:val="nil"/>
              <w:left w:val="nil"/>
              <w:bottom w:val="nil"/>
              <w:right w:val="nil"/>
            </w:tcBorders>
            <w:shd w:val="clear" w:color="auto" w:fill="auto"/>
            <w:noWrap/>
            <w:vAlign w:val="center"/>
            <w:hideMark/>
          </w:tcPr>
          <w:p w14:paraId="679CBEEF"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0,76</w:t>
            </w:r>
          </w:p>
        </w:tc>
      </w:tr>
      <w:tr w:rsidR="00DE697F" w:rsidRPr="00DE697F" w14:paraId="59F2FF07" w14:textId="77777777" w:rsidTr="00DE697F">
        <w:trPr>
          <w:trHeight w:val="20"/>
        </w:trPr>
        <w:tc>
          <w:tcPr>
            <w:tcW w:w="2268" w:type="dxa"/>
            <w:tcBorders>
              <w:top w:val="nil"/>
              <w:left w:val="nil"/>
              <w:bottom w:val="nil"/>
              <w:right w:val="nil"/>
            </w:tcBorders>
            <w:shd w:val="clear" w:color="auto" w:fill="auto"/>
            <w:noWrap/>
            <w:vAlign w:val="center"/>
            <w:hideMark/>
          </w:tcPr>
          <w:p w14:paraId="0E4F62EB"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Milho</w:t>
            </w:r>
          </w:p>
        </w:tc>
        <w:tc>
          <w:tcPr>
            <w:tcW w:w="1276" w:type="dxa"/>
            <w:tcBorders>
              <w:top w:val="nil"/>
              <w:left w:val="nil"/>
              <w:bottom w:val="nil"/>
              <w:right w:val="nil"/>
            </w:tcBorders>
            <w:shd w:val="clear" w:color="auto" w:fill="auto"/>
            <w:noWrap/>
            <w:vAlign w:val="center"/>
            <w:hideMark/>
          </w:tcPr>
          <w:p w14:paraId="16928693"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2.030.122</w:t>
            </w:r>
          </w:p>
        </w:tc>
        <w:tc>
          <w:tcPr>
            <w:tcW w:w="1040" w:type="dxa"/>
            <w:tcBorders>
              <w:top w:val="nil"/>
              <w:left w:val="nil"/>
              <w:bottom w:val="nil"/>
              <w:right w:val="nil"/>
            </w:tcBorders>
            <w:shd w:val="clear" w:color="auto" w:fill="auto"/>
            <w:noWrap/>
            <w:vAlign w:val="center"/>
            <w:hideMark/>
          </w:tcPr>
          <w:p w14:paraId="0E416788"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11.603.945</w:t>
            </w:r>
          </w:p>
        </w:tc>
        <w:tc>
          <w:tcPr>
            <w:tcW w:w="1228" w:type="dxa"/>
            <w:gridSpan w:val="2"/>
            <w:tcBorders>
              <w:top w:val="nil"/>
              <w:left w:val="nil"/>
              <w:bottom w:val="nil"/>
              <w:right w:val="nil"/>
            </w:tcBorders>
            <w:shd w:val="clear" w:color="auto" w:fill="auto"/>
            <w:noWrap/>
            <w:vAlign w:val="center"/>
            <w:hideMark/>
          </w:tcPr>
          <w:p w14:paraId="7E2D93BC"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5,72</w:t>
            </w:r>
          </w:p>
        </w:tc>
        <w:tc>
          <w:tcPr>
            <w:tcW w:w="1134" w:type="dxa"/>
            <w:tcBorders>
              <w:top w:val="nil"/>
              <w:left w:val="nil"/>
              <w:bottom w:val="nil"/>
              <w:right w:val="nil"/>
            </w:tcBorders>
            <w:shd w:val="clear" w:color="auto" w:fill="auto"/>
            <w:noWrap/>
            <w:vAlign w:val="bottom"/>
            <w:hideMark/>
          </w:tcPr>
          <w:p w14:paraId="3589908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1.655.450</w:t>
            </w:r>
          </w:p>
        </w:tc>
        <w:tc>
          <w:tcPr>
            <w:tcW w:w="1144" w:type="dxa"/>
            <w:tcBorders>
              <w:top w:val="nil"/>
              <w:left w:val="nil"/>
              <w:bottom w:val="nil"/>
              <w:right w:val="nil"/>
            </w:tcBorders>
            <w:shd w:val="clear" w:color="auto" w:fill="auto"/>
            <w:noWrap/>
            <w:vAlign w:val="bottom"/>
            <w:hideMark/>
          </w:tcPr>
          <w:p w14:paraId="79796C6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15.783.895</w:t>
            </w:r>
          </w:p>
        </w:tc>
        <w:tc>
          <w:tcPr>
            <w:tcW w:w="1084" w:type="dxa"/>
            <w:gridSpan w:val="2"/>
            <w:tcBorders>
              <w:top w:val="nil"/>
              <w:left w:val="nil"/>
              <w:bottom w:val="nil"/>
              <w:right w:val="nil"/>
            </w:tcBorders>
            <w:shd w:val="clear" w:color="auto" w:fill="auto"/>
            <w:noWrap/>
            <w:vAlign w:val="center"/>
            <w:hideMark/>
          </w:tcPr>
          <w:p w14:paraId="4241309E"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9,53</w:t>
            </w:r>
          </w:p>
        </w:tc>
      </w:tr>
      <w:tr w:rsidR="00DE697F" w:rsidRPr="00DE697F" w14:paraId="3D662BD7" w14:textId="77777777" w:rsidTr="00DE697F">
        <w:trPr>
          <w:trHeight w:val="20"/>
        </w:trPr>
        <w:tc>
          <w:tcPr>
            <w:tcW w:w="2268" w:type="dxa"/>
            <w:tcBorders>
              <w:top w:val="nil"/>
              <w:left w:val="nil"/>
              <w:bottom w:val="single" w:sz="8" w:space="0" w:color="auto"/>
              <w:right w:val="nil"/>
            </w:tcBorders>
            <w:shd w:val="clear" w:color="auto" w:fill="auto"/>
            <w:noWrap/>
            <w:vAlign w:val="center"/>
            <w:hideMark/>
          </w:tcPr>
          <w:p w14:paraId="5A2EA361"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Soja</w:t>
            </w:r>
          </w:p>
        </w:tc>
        <w:tc>
          <w:tcPr>
            <w:tcW w:w="1276" w:type="dxa"/>
            <w:tcBorders>
              <w:top w:val="nil"/>
              <w:left w:val="nil"/>
              <w:bottom w:val="single" w:sz="8" w:space="0" w:color="auto"/>
              <w:right w:val="nil"/>
            </w:tcBorders>
            <w:shd w:val="clear" w:color="auto" w:fill="auto"/>
            <w:noWrap/>
            <w:vAlign w:val="center"/>
            <w:hideMark/>
          </w:tcPr>
          <w:p w14:paraId="4A3EB966"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217.015</w:t>
            </w:r>
          </w:p>
        </w:tc>
        <w:tc>
          <w:tcPr>
            <w:tcW w:w="1040" w:type="dxa"/>
            <w:tcBorders>
              <w:top w:val="nil"/>
              <w:left w:val="nil"/>
              <w:bottom w:val="single" w:sz="8" w:space="0" w:color="auto"/>
              <w:right w:val="nil"/>
            </w:tcBorders>
            <w:shd w:val="clear" w:color="auto" w:fill="auto"/>
            <w:noWrap/>
            <w:vAlign w:val="center"/>
            <w:hideMark/>
          </w:tcPr>
          <w:p w14:paraId="635B4CE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17.883.297</w:t>
            </w:r>
          </w:p>
        </w:tc>
        <w:tc>
          <w:tcPr>
            <w:tcW w:w="1228" w:type="dxa"/>
            <w:gridSpan w:val="2"/>
            <w:tcBorders>
              <w:top w:val="nil"/>
              <w:left w:val="nil"/>
              <w:bottom w:val="single" w:sz="8" w:space="0" w:color="auto"/>
              <w:right w:val="nil"/>
            </w:tcBorders>
            <w:shd w:val="clear" w:color="auto" w:fill="auto"/>
            <w:noWrap/>
            <w:vAlign w:val="center"/>
            <w:hideMark/>
          </w:tcPr>
          <w:p w14:paraId="40A130E0"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82,41</w:t>
            </w:r>
          </w:p>
        </w:tc>
        <w:tc>
          <w:tcPr>
            <w:tcW w:w="1134" w:type="dxa"/>
            <w:tcBorders>
              <w:top w:val="nil"/>
              <w:left w:val="nil"/>
              <w:bottom w:val="nil"/>
              <w:right w:val="nil"/>
            </w:tcBorders>
            <w:shd w:val="clear" w:color="auto" w:fill="auto"/>
            <w:noWrap/>
            <w:vAlign w:val="bottom"/>
            <w:hideMark/>
          </w:tcPr>
          <w:p w14:paraId="02DCD2C0"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236.245</w:t>
            </w:r>
          </w:p>
        </w:tc>
        <w:tc>
          <w:tcPr>
            <w:tcW w:w="1144" w:type="dxa"/>
            <w:tcBorders>
              <w:top w:val="nil"/>
              <w:left w:val="nil"/>
              <w:bottom w:val="nil"/>
              <w:right w:val="nil"/>
            </w:tcBorders>
            <w:shd w:val="clear" w:color="auto" w:fill="auto"/>
            <w:noWrap/>
            <w:vAlign w:val="bottom"/>
            <w:hideMark/>
          </w:tcPr>
          <w:p w14:paraId="6C8DCD44"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30.722.657</w:t>
            </w:r>
          </w:p>
        </w:tc>
        <w:tc>
          <w:tcPr>
            <w:tcW w:w="1084" w:type="dxa"/>
            <w:gridSpan w:val="2"/>
            <w:tcBorders>
              <w:top w:val="nil"/>
              <w:left w:val="nil"/>
              <w:bottom w:val="nil"/>
              <w:right w:val="nil"/>
            </w:tcBorders>
            <w:shd w:val="clear" w:color="auto" w:fill="auto"/>
            <w:noWrap/>
            <w:vAlign w:val="center"/>
            <w:hideMark/>
          </w:tcPr>
          <w:p w14:paraId="1708886B"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130,05</w:t>
            </w:r>
          </w:p>
        </w:tc>
      </w:tr>
      <w:tr w:rsidR="00DE697F" w:rsidRPr="00DE697F" w14:paraId="40BBCD9E" w14:textId="77777777" w:rsidTr="00DE697F">
        <w:trPr>
          <w:gridAfter w:val="1"/>
          <w:wAfter w:w="7" w:type="dxa"/>
          <w:trHeight w:val="20"/>
        </w:trPr>
        <w:tc>
          <w:tcPr>
            <w:tcW w:w="2268" w:type="dxa"/>
            <w:vMerge w:val="restart"/>
            <w:tcBorders>
              <w:top w:val="nil"/>
              <w:left w:val="nil"/>
              <w:bottom w:val="single" w:sz="8" w:space="0" w:color="000000"/>
              <w:right w:val="nil"/>
            </w:tcBorders>
            <w:shd w:val="clear" w:color="auto" w:fill="auto"/>
            <w:noWrap/>
            <w:vAlign w:val="center"/>
            <w:hideMark/>
          </w:tcPr>
          <w:p w14:paraId="13ACAF13"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Produto</w:t>
            </w:r>
          </w:p>
        </w:tc>
        <w:tc>
          <w:tcPr>
            <w:tcW w:w="6899" w:type="dxa"/>
            <w:gridSpan w:val="7"/>
            <w:tcBorders>
              <w:top w:val="single" w:sz="8" w:space="0" w:color="auto"/>
              <w:left w:val="nil"/>
              <w:bottom w:val="single" w:sz="8" w:space="0" w:color="auto"/>
              <w:right w:val="nil"/>
            </w:tcBorders>
            <w:shd w:val="clear" w:color="auto" w:fill="auto"/>
            <w:noWrap/>
            <w:vAlign w:val="center"/>
            <w:hideMark/>
          </w:tcPr>
          <w:p w14:paraId="62C528D1"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Mato Grosso</w:t>
            </w:r>
          </w:p>
        </w:tc>
      </w:tr>
      <w:tr w:rsidR="00DE697F" w:rsidRPr="00DE697F" w14:paraId="282DEBC3" w14:textId="77777777" w:rsidTr="00DE697F">
        <w:trPr>
          <w:gridAfter w:val="1"/>
          <w:wAfter w:w="7" w:type="dxa"/>
          <w:trHeight w:val="20"/>
        </w:trPr>
        <w:tc>
          <w:tcPr>
            <w:tcW w:w="2268" w:type="dxa"/>
            <w:vMerge/>
            <w:tcBorders>
              <w:top w:val="nil"/>
              <w:left w:val="nil"/>
              <w:bottom w:val="single" w:sz="8" w:space="0" w:color="000000"/>
              <w:right w:val="nil"/>
            </w:tcBorders>
            <w:vAlign w:val="center"/>
            <w:hideMark/>
          </w:tcPr>
          <w:p w14:paraId="7FCBEB41"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p>
        </w:tc>
        <w:tc>
          <w:tcPr>
            <w:tcW w:w="3533" w:type="dxa"/>
            <w:gridSpan w:val="3"/>
            <w:tcBorders>
              <w:top w:val="single" w:sz="8" w:space="0" w:color="auto"/>
              <w:left w:val="nil"/>
              <w:bottom w:val="single" w:sz="8" w:space="0" w:color="auto"/>
              <w:right w:val="nil"/>
            </w:tcBorders>
            <w:shd w:val="clear" w:color="auto" w:fill="auto"/>
            <w:noWrap/>
            <w:vAlign w:val="center"/>
            <w:hideMark/>
          </w:tcPr>
          <w:p w14:paraId="4D0D1A0B"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2006</w:t>
            </w:r>
          </w:p>
        </w:tc>
        <w:tc>
          <w:tcPr>
            <w:tcW w:w="3366" w:type="dxa"/>
            <w:gridSpan w:val="4"/>
            <w:tcBorders>
              <w:top w:val="single" w:sz="8" w:space="0" w:color="auto"/>
              <w:left w:val="nil"/>
              <w:bottom w:val="single" w:sz="8" w:space="0" w:color="auto"/>
              <w:right w:val="nil"/>
            </w:tcBorders>
            <w:shd w:val="clear" w:color="auto" w:fill="auto"/>
            <w:noWrap/>
            <w:vAlign w:val="center"/>
            <w:hideMark/>
          </w:tcPr>
          <w:p w14:paraId="0AACF489"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w:t>
            </w:r>
          </w:p>
        </w:tc>
      </w:tr>
      <w:tr w:rsidR="00DE697F" w:rsidRPr="00DE697F" w14:paraId="106312A8" w14:textId="77777777" w:rsidTr="00DE697F">
        <w:trPr>
          <w:trHeight w:val="20"/>
        </w:trPr>
        <w:tc>
          <w:tcPr>
            <w:tcW w:w="2268" w:type="dxa"/>
            <w:vMerge/>
            <w:tcBorders>
              <w:top w:val="nil"/>
              <w:left w:val="nil"/>
              <w:bottom w:val="single" w:sz="8" w:space="0" w:color="000000"/>
              <w:right w:val="nil"/>
            </w:tcBorders>
            <w:vAlign w:val="center"/>
            <w:hideMark/>
          </w:tcPr>
          <w:p w14:paraId="04BA4FF7" w14:textId="77777777" w:rsidR="00DE697F" w:rsidRPr="00DE697F" w:rsidRDefault="00DE697F" w:rsidP="00DE697F">
            <w:pPr>
              <w:spacing w:after="0" w:line="240" w:lineRule="auto"/>
              <w:rPr>
                <w:rFonts w:ascii="Times New Roman" w:eastAsia="Times New Roman" w:hAnsi="Times New Roman" w:cs="Times New Roman"/>
                <w:b/>
                <w:bCs/>
                <w:color w:val="000000"/>
                <w:sz w:val="20"/>
                <w:szCs w:val="20"/>
              </w:rPr>
            </w:pPr>
          </w:p>
        </w:tc>
        <w:tc>
          <w:tcPr>
            <w:tcW w:w="1276" w:type="dxa"/>
            <w:tcBorders>
              <w:top w:val="nil"/>
              <w:left w:val="nil"/>
              <w:bottom w:val="single" w:sz="8" w:space="0" w:color="auto"/>
              <w:right w:val="nil"/>
            </w:tcBorders>
            <w:shd w:val="clear" w:color="auto" w:fill="auto"/>
            <w:noWrap/>
            <w:vAlign w:val="center"/>
            <w:hideMark/>
          </w:tcPr>
          <w:p w14:paraId="7A9A6C13"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 xml:space="preserve">N. </w:t>
            </w:r>
            <w:proofErr w:type="spellStart"/>
            <w:r w:rsidRPr="00DE697F">
              <w:rPr>
                <w:rFonts w:ascii="Times New Roman" w:eastAsia="Times New Roman" w:hAnsi="Times New Roman" w:cs="Times New Roman"/>
                <w:b/>
                <w:bCs/>
                <w:color w:val="000000"/>
                <w:sz w:val="20"/>
                <w:szCs w:val="20"/>
              </w:rPr>
              <w:t>Estabel</w:t>
            </w:r>
            <w:proofErr w:type="spellEnd"/>
            <w:r w:rsidRPr="00DE697F">
              <w:rPr>
                <w:rFonts w:ascii="Times New Roman" w:eastAsia="Times New Roman" w:hAnsi="Times New Roman" w:cs="Times New Roman"/>
                <w:b/>
                <w:bCs/>
                <w:color w:val="000000"/>
                <w:sz w:val="20"/>
                <w:szCs w:val="20"/>
              </w:rPr>
              <w:t>.</w:t>
            </w:r>
          </w:p>
        </w:tc>
        <w:tc>
          <w:tcPr>
            <w:tcW w:w="1040" w:type="dxa"/>
            <w:tcBorders>
              <w:top w:val="nil"/>
              <w:left w:val="nil"/>
              <w:bottom w:val="single" w:sz="8" w:space="0" w:color="auto"/>
              <w:right w:val="nil"/>
            </w:tcBorders>
            <w:shd w:val="clear" w:color="auto" w:fill="auto"/>
            <w:noWrap/>
            <w:vAlign w:val="center"/>
            <w:hideMark/>
          </w:tcPr>
          <w:p w14:paraId="113121B2"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Total</w:t>
            </w:r>
          </w:p>
        </w:tc>
        <w:tc>
          <w:tcPr>
            <w:tcW w:w="1228" w:type="dxa"/>
            <w:gridSpan w:val="2"/>
            <w:tcBorders>
              <w:top w:val="nil"/>
              <w:left w:val="nil"/>
              <w:bottom w:val="single" w:sz="8" w:space="0" w:color="auto"/>
              <w:right w:val="nil"/>
            </w:tcBorders>
            <w:shd w:val="clear" w:color="auto" w:fill="auto"/>
            <w:noWrap/>
            <w:vAlign w:val="center"/>
            <w:hideMark/>
          </w:tcPr>
          <w:p w14:paraId="24E668D5"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Média</w:t>
            </w:r>
          </w:p>
        </w:tc>
        <w:tc>
          <w:tcPr>
            <w:tcW w:w="1134" w:type="dxa"/>
            <w:tcBorders>
              <w:top w:val="nil"/>
              <w:left w:val="nil"/>
              <w:bottom w:val="single" w:sz="8" w:space="0" w:color="auto"/>
              <w:right w:val="nil"/>
            </w:tcBorders>
            <w:shd w:val="clear" w:color="auto" w:fill="auto"/>
            <w:noWrap/>
            <w:vAlign w:val="center"/>
            <w:hideMark/>
          </w:tcPr>
          <w:p w14:paraId="36506B93"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 xml:space="preserve">N. </w:t>
            </w:r>
            <w:proofErr w:type="spellStart"/>
            <w:r w:rsidRPr="00DE697F">
              <w:rPr>
                <w:rFonts w:ascii="Times New Roman" w:eastAsia="Times New Roman" w:hAnsi="Times New Roman" w:cs="Times New Roman"/>
                <w:b/>
                <w:bCs/>
                <w:color w:val="000000"/>
                <w:sz w:val="20"/>
                <w:szCs w:val="20"/>
              </w:rPr>
              <w:t>Estabel</w:t>
            </w:r>
            <w:proofErr w:type="spellEnd"/>
            <w:r w:rsidRPr="00DE697F">
              <w:rPr>
                <w:rFonts w:ascii="Times New Roman" w:eastAsia="Times New Roman" w:hAnsi="Times New Roman" w:cs="Times New Roman"/>
                <w:b/>
                <w:bCs/>
                <w:color w:val="000000"/>
                <w:sz w:val="20"/>
                <w:szCs w:val="20"/>
              </w:rPr>
              <w:t>.</w:t>
            </w:r>
          </w:p>
        </w:tc>
        <w:tc>
          <w:tcPr>
            <w:tcW w:w="1144" w:type="dxa"/>
            <w:tcBorders>
              <w:top w:val="nil"/>
              <w:left w:val="nil"/>
              <w:bottom w:val="single" w:sz="8" w:space="0" w:color="auto"/>
              <w:right w:val="nil"/>
            </w:tcBorders>
            <w:shd w:val="clear" w:color="auto" w:fill="auto"/>
            <w:noWrap/>
            <w:vAlign w:val="center"/>
            <w:hideMark/>
          </w:tcPr>
          <w:p w14:paraId="463BC915"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Total</w:t>
            </w:r>
          </w:p>
        </w:tc>
        <w:tc>
          <w:tcPr>
            <w:tcW w:w="1084" w:type="dxa"/>
            <w:gridSpan w:val="2"/>
            <w:tcBorders>
              <w:top w:val="nil"/>
              <w:left w:val="nil"/>
              <w:bottom w:val="single" w:sz="8" w:space="0" w:color="auto"/>
              <w:right w:val="nil"/>
            </w:tcBorders>
            <w:shd w:val="clear" w:color="auto" w:fill="auto"/>
            <w:noWrap/>
            <w:vAlign w:val="center"/>
            <w:hideMark/>
          </w:tcPr>
          <w:p w14:paraId="7E9E0CEE"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Ár. Média</w:t>
            </w:r>
          </w:p>
        </w:tc>
      </w:tr>
      <w:tr w:rsidR="00DE697F" w:rsidRPr="00DE697F" w14:paraId="362AB1EA" w14:textId="77777777" w:rsidTr="00DE697F">
        <w:trPr>
          <w:trHeight w:val="20"/>
        </w:trPr>
        <w:tc>
          <w:tcPr>
            <w:tcW w:w="2268" w:type="dxa"/>
            <w:tcBorders>
              <w:top w:val="nil"/>
              <w:left w:val="nil"/>
              <w:bottom w:val="nil"/>
              <w:right w:val="nil"/>
            </w:tcBorders>
            <w:shd w:val="clear" w:color="auto" w:fill="auto"/>
            <w:noWrap/>
            <w:vAlign w:val="center"/>
            <w:hideMark/>
          </w:tcPr>
          <w:p w14:paraId="43CF64D0"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Algodão herbáceo</w:t>
            </w:r>
          </w:p>
        </w:tc>
        <w:tc>
          <w:tcPr>
            <w:tcW w:w="1276" w:type="dxa"/>
            <w:tcBorders>
              <w:top w:val="nil"/>
              <w:left w:val="nil"/>
              <w:bottom w:val="nil"/>
              <w:right w:val="nil"/>
            </w:tcBorders>
            <w:shd w:val="clear" w:color="auto" w:fill="auto"/>
            <w:noWrap/>
            <w:vAlign w:val="center"/>
            <w:hideMark/>
          </w:tcPr>
          <w:p w14:paraId="065B58B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209</w:t>
            </w:r>
          </w:p>
        </w:tc>
        <w:tc>
          <w:tcPr>
            <w:tcW w:w="1040" w:type="dxa"/>
            <w:tcBorders>
              <w:top w:val="nil"/>
              <w:left w:val="nil"/>
              <w:bottom w:val="nil"/>
              <w:right w:val="nil"/>
            </w:tcBorders>
            <w:shd w:val="clear" w:color="auto" w:fill="auto"/>
            <w:noWrap/>
            <w:vAlign w:val="center"/>
            <w:hideMark/>
          </w:tcPr>
          <w:p w14:paraId="7967B740"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448.119</w:t>
            </w:r>
          </w:p>
        </w:tc>
        <w:tc>
          <w:tcPr>
            <w:tcW w:w="1228" w:type="dxa"/>
            <w:gridSpan w:val="2"/>
            <w:tcBorders>
              <w:top w:val="nil"/>
              <w:left w:val="nil"/>
              <w:bottom w:val="nil"/>
              <w:right w:val="nil"/>
            </w:tcBorders>
            <w:shd w:val="clear" w:color="auto" w:fill="auto"/>
            <w:noWrap/>
            <w:vAlign w:val="center"/>
            <w:hideMark/>
          </w:tcPr>
          <w:p w14:paraId="1AEE10BB"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2.144,11</w:t>
            </w:r>
          </w:p>
        </w:tc>
        <w:tc>
          <w:tcPr>
            <w:tcW w:w="1134" w:type="dxa"/>
            <w:tcBorders>
              <w:top w:val="nil"/>
              <w:left w:val="nil"/>
              <w:bottom w:val="nil"/>
              <w:right w:val="nil"/>
            </w:tcBorders>
            <w:shd w:val="clear" w:color="auto" w:fill="auto"/>
            <w:noWrap/>
            <w:vAlign w:val="bottom"/>
            <w:hideMark/>
          </w:tcPr>
          <w:p w14:paraId="3A04A0CA"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251</w:t>
            </w:r>
          </w:p>
        </w:tc>
        <w:tc>
          <w:tcPr>
            <w:tcW w:w="1144" w:type="dxa"/>
            <w:tcBorders>
              <w:top w:val="nil"/>
              <w:left w:val="nil"/>
              <w:bottom w:val="nil"/>
              <w:right w:val="nil"/>
            </w:tcBorders>
            <w:shd w:val="clear" w:color="auto" w:fill="auto"/>
            <w:noWrap/>
            <w:vAlign w:val="bottom"/>
            <w:hideMark/>
          </w:tcPr>
          <w:p w14:paraId="5E992A77"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596.625</w:t>
            </w:r>
          </w:p>
        </w:tc>
        <w:tc>
          <w:tcPr>
            <w:tcW w:w="1084" w:type="dxa"/>
            <w:gridSpan w:val="2"/>
            <w:tcBorders>
              <w:top w:val="nil"/>
              <w:left w:val="nil"/>
              <w:bottom w:val="nil"/>
              <w:right w:val="nil"/>
            </w:tcBorders>
            <w:shd w:val="clear" w:color="auto" w:fill="auto"/>
            <w:noWrap/>
            <w:vAlign w:val="center"/>
            <w:hideMark/>
          </w:tcPr>
          <w:p w14:paraId="34FF0334"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w:t>
            </w:r>
            <w:r w:rsidR="00555932">
              <w:rPr>
                <w:rFonts w:ascii="Times New Roman" w:eastAsia="Times New Roman" w:hAnsi="Times New Roman" w:cs="Times New Roman"/>
                <w:b/>
                <w:bCs/>
                <w:color w:val="000000"/>
                <w:sz w:val="20"/>
                <w:szCs w:val="20"/>
              </w:rPr>
              <w:t>.</w:t>
            </w:r>
            <w:r w:rsidRPr="00DE697F">
              <w:rPr>
                <w:rFonts w:ascii="Times New Roman" w:eastAsia="Times New Roman" w:hAnsi="Times New Roman" w:cs="Times New Roman"/>
                <w:b/>
                <w:bCs/>
                <w:color w:val="000000"/>
                <w:sz w:val="20"/>
                <w:szCs w:val="20"/>
              </w:rPr>
              <w:t>376,99</w:t>
            </w:r>
          </w:p>
        </w:tc>
      </w:tr>
      <w:tr w:rsidR="00DE697F" w:rsidRPr="00DE697F" w14:paraId="023F5DB0" w14:textId="77777777" w:rsidTr="00DE697F">
        <w:trPr>
          <w:trHeight w:val="20"/>
        </w:trPr>
        <w:tc>
          <w:tcPr>
            <w:tcW w:w="2268" w:type="dxa"/>
            <w:tcBorders>
              <w:top w:val="nil"/>
              <w:left w:val="nil"/>
              <w:bottom w:val="nil"/>
              <w:right w:val="nil"/>
            </w:tcBorders>
            <w:shd w:val="clear" w:color="auto" w:fill="auto"/>
            <w:noWrap/>
            <w:vAlign w:val="center"/>
            <w:hideMark/>
          </w:tcPr>
          <w:p w14:paraId="1EF8378D"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Arroz Casca</w:t>
            </w:r>
          </w:p>
        </w:tc>
        <w:tc>
          <w:tcPr>
            <w:tcW w:w="1276" w:type="dxa"/>
            <w:tcBorders>
              <w:top w:val="nil"/>
              <w:left w:val="nil"/>
              <w:bottom w:val="nil"/>
              <w:right w:val="nil"/>
            </w:tcBorders>
            <w:shd w:val="clear" w:color="auto" w:fill="auto"/>
            <w:noWrap/>
            <w:vAlign w:val="center"/>
            <w:hideMark/>
          </w:tcPr>
          <w:p w14:paraId="3377D206"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5.919</w:t>
            </w:r>
          </w:p>
        </w:tc>
        <w:tc>
          <w:tcPr>
            <w:tcW w:w="1040" w:type="dxa"/>
            <w:tcBorders>
              <w:top w:val="nil"/>
              <w:left w:val="nil"/>
              <w:bottom w:val="nil"/>
              <w:right w:val="nil"/>
            </w:tcBorders>
            <w:shd w:val="clear" w:color="auto" w:fill="auto"/>
            <w:noWrap/>
            <w:vAlign w:val="center"/>
            <w:hideMark/>
          </w:tcPr>
          <w:p w14:paraId="16C0F3B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143.006</w:t>
            </w:r>
          </w:p>
        </w:tc>
        <w:tc>
          <w:tcPr>
            <w:tcW w:w="1228" w:type="dxa"/>
            <w:gridSpan w:val="2"/>
            <w:tcBorders>
              <w:top w:val="nil"/>
              <w:left w:val="nil"/>
              <w:bottom w:val="nil"/>
              <w:right w:val="nil"/>
            </w:tcBorders>
            <w:shd w:val="clear" w:color="auto" w:fill="auto"/>
            <w:noWrap/>
            <w:vAlign w:val="center"/>
            <w:hideMark/>
          </w:tcPr>
          <w:p w14:paraId="03519A08"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24,16</w:t>
            </w:r>
          </w:p>
        </w:tc>
        <w:tc>
          <w:tcPr>
            <w:tcW w:w="1134" w:type="dxa"/>
            <w:tcBorders>
              <w:top w:val="nil"/>
              <w:left w:val="nil"/>
              <w:bottom w:val="nil"/>
              <w:right w:val="nil"/>
            </w:tcBorders>
            <w:shd w:val="clear" w:color="auto" w:fill="auto"/>
            <w:noWrap/>
            <w:vAlign w:val="bottom"/>
            <w:hideMark/>
          </w:tcPr>
          <w:p w14:paraId="6C8ED86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1.142</w:t>
            </w:r>
          </w:p>
        </w:tc>
        <w:tc>
          <w:tcPr>
            <w:tcW w:w="1144" w:type="dxa"/>
            <w:tcBorders>
              <w:top w:val="nil"/>
              <w:left w:val="nil"/>
              <w:bottom w:val="nil"/>
              <w:right w:val="nil"/>
            </w:tcBorders>
            <w:shd w:val="clear" w:color="auto" w:fill="auto"/>
            <w:noWrap/>
            <w:vAlign w:val="bottom"/>
            <w:hideMark/>
          </w:tcPr>
          <w:p w14:paraId="3F0FF947"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132.813</w:t>
            </w:r>
          </w:p>
        </w:tc>
        <w:tc>
          <w:tcPr>
            <w:tcW w:w="1084" w:type="dxa"/>
            <w:gridSpan w:val="2"/>
            <w:tcBorders>
              <w:top w:val="nil"/>
              <w:left w:val="nil"/>
              <w:bottom w:val="nil"/>
              <w:right w:val="nil"/>
            </w:tcBorders>
            <w:shd w:val="clear" w:color="auto" w:fill="auto"/>
            <w:noWrap/>
            <w:vAlign w:val="center"/>
            <w:hideMark/>
          </w:tcPr>
          <w:p w14:paraId="62DAE2E5"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116,30</w:t>
            </w:r>
          </w:p>
        </w:tc>
      </w:tr>
      <w:tr w:rsidR="00DE697F" w:rsidRPr="00DE697F" w14:paraId="53E17E38" w14:textId="77777777" w:rsidTr="00DE697F">
        <w:trPr>
          <w:trHeight w:val="20"/>
        </w:trPr>
        <w:tc>
          <w:tcPr>
            <w:tcW w:w="2268" w:type="dxa"/>
            <w:tcBorders>
              <w:top w:val="nil"/>
              <w:left w:val="nil"/>
              <w:bottom w:val="nil"/>
              <w:right w:val="nil"/>
            </w:tcBorders>
            <w:shd w:val="clear" w:color="auto" w:fill="auto"/>
            <w:noWrap/>
            <w:vAlign w:val="center"/>
            <w:hideMark/>
          </w:tcPr>
          <w:p w14:paraId="53F9CB07"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Cana-de-açúcar</w:t>
            </w:r>
          </w:p>
        </w:tc>
        <w:tc>
          <w:tcPr>
            <w:tcW w:w="1276" w:type="dxa"/>
            <w:tcBorders>
              <w:top w:val="nil"/>
              <w:left w:val="nil"/>
              <w:bottom w:val="nil"/>
              <w:right w:val="nil"/>
            </w:tcBorders>
            <w:shd w:val="clear" w:color="auto" w:fill="auto"/>
            <w:noWrap/>
            <w:vAlign w:val="center"/>
            <w:hideMark/>
          </w:tcPr>
          <w:p w14:paraId="30EEBE30"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3.461</w:t>
            </w:r>
          </w:p>
        </w:tc>
        <w:tc>
          <w:tcPr>
            <w:tcW w:w="1040" w:type="dxa"/>
            <w:tcBorders>
              <w:top w:val="nil"/>
              <w:left w:val="nil"/>
              <w:bottom w:val="nil"/>
              <w:right w:val="nil"/>
            </w:tcBorders>
            <w:shd w:val="clear" w:color="auto" w:fill="auto"/>
            <w:noWrap/>
            <w:vAlign w:val="center"/>
            <w:hideMark/>
          </w:tcPr>
          <w:p w14:paraId="5202FE78"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215.862</w:t>
            </w:r>
          </w:p>
        </w:tc>
        <w:tc>
          <w:tcPr>
            <w:tcW w:w="1228" w:type="dxa"/>
            <w:gridSpan w:val="2"/>
            <w:tcBorders>
              <w:top w:val="nil"/>
              <w:left w:val="nil"/>
              <w:bottom w:val="nil"/>
              <w:right w:val="nil"/>
            </w:tcBorders>
            <w:shd w:val="clear" w:color="auto" w:fill="auto"/>
            <w:noWrap/>
            <w:vAlign w:val="center"/>
            <w:hideMark/>
          </w:tcPr>
          <w:p w14:paraId="57E922ED"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62,37</w:t>
            </w:r>
          </w:p>
        </w:tc>
        <w:tc>
          <w:tcPr>
            <w:tcW w:w="1134" w:type="dxa"/>
            <w:tcBorders>
              <w:top w:val="nil"/>
              <w:left w:val="nil"/>
              <w:bottom w:val="nil"/>
              <w:right w:val="nil"/>
            </w:tcBorders>
            <w:shd w:val="clear" w:color="auto" w:fill="auto"/>
            <w:noWrap/>
            <w:vAlign w:val="bottom"/>
            <w:hideMark/>
          </w:tcPr>
          <w:p w14:paraId="25EDB61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2.979</w:t>
            </w:r>
          </w:p>
        </w:tc>
        <w:tc>
          <w:tcPr>
            <w:tcW w:w="1144" w:type="dxa"/>
            <w:tcBorders>
              <w:top w:val="nil"/>
              <w:left w:val="nil"/>
              <w:bottom w:val="nil"/>
              <w:right w:val="nil"/>
            </w:tcBorders>
            <w:shd w:val="clear" w:color="auto" w:fill="auto"/>
            <w:noWrap/>
            <w:vAlign w:val="bottom"/>
            <w:hideMark/>
          </w:tcPr>
          <w:p w14:paraId="2B6E6718"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232.251</w:t>
            </w:r>
          </w:p>
        </w:tc>
        <w:tc>
          <w:tcPr>
            <w:tcW w:w="1084" w:type="dxa"/>
            <w:gridSpan w:val="2"/>
            <w:tcBorders>
              <w:top w:val="nil"/>
              <w:left w:val="nil"/>
              <w:bottom w:val="nil"/>
              <w:right w:val="nil"/>
            </w:tcBorders>
            <w:shd w:val="clear" w:color="auto" w:fill="auto"/>
            <w:noWrap/>
            <w:vAlign w:val="center"/>
            <w:hideMark/>
          </w:tcPr>
          <w:p w14:paraId="4575D10B"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77,96</w:t>
            </w:r>
          </w:p>
        </w:tc>
      </w:tr>
      <w:tr w:rsidR="00DE697F" w:rsidRPr="00DE697F" w14:paraId="373DE7FA" w14:textId="77777777" w:rsidTr="00DE697F">
        <w:trPr>
          <w:trHeight w:val="20"/>
        </w:trPr>
        <w:tc>
          <w:tcPr>
            <w:tcW w:w="2268" w:type="dxa"/>
            <w:tcBorders>
              <w:top w:val="nil"/>
              <w:left w:val="nil"/>
              <w:bottom w:val="nil"/>
              <w:right w:val="nil"/>
            </w:tcBorders>
            <w:shd w:val="clear" w:color="auto" w:fill="auto"/>
            <w:noWrap/>
            <w:vAlign w:val="center"/>
            <w:hideMark/>
          </w:tcPr>
          <w:p w14:paraId="0CB4016A"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Feijão fradinho em grão</w:t>
            </w:r>
          </w:p>
        </w:tc>
        <w:tc>
          <w:tcPr>
            <w:tcW w:w="1276" w:type="dxa"/>
            <w:tcBorders>
              <w:top w:val="nil"/>
              <w:left w:val="nil"/>
              <w:bottom w:val="nil"/>
              <w:right w:val="nil"/>
            </w:tcBorders>
            <w:shd w:val="clear" w:color="auto" w:fill="auto"/>
            <w:noWrap/>
            <w:vAlign w:val="center"/>
            <w:hideMark/>
          </w:tcPr>
          <w:p w14:paraId="70A6F587"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805</w:t>
            </w:r>
          </w:p>
        </w:tc>
        <w:tc>
          <w:tcPr>
            <w:tcW w:w="1040" w:type="dxa"/>
            <w:tcBorders>
              <w:top w:val="nil"/>
              <w:left w:val="nil"/>
              <w:bottom w:val="nil"/>
              <w:right w:val="nil"/>
            </w:tcBorders>
            <w:shd w:val="clear" w:color="auto" w:fill="auto"/>
            <w:noWrap/>
            <w:vAlign w:val="center"/>
            <w:hideMark/>
          </w:tcPr>
          <w:p w14:paraId="50263AD2"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5.476</w:t>
            </w:r>
          </w:p>
        </w:tc>
        <w:tc>
          <w:tcPr>
            <w:tcW w:w="1228" w:type="dxa"/>
            <w:gridSpan w:val="2"/>
            <w:tcBorders>
              <w:top w:val="nil"/>
              <w:left w:val="nil"/>
              <w:bottom w:val="nil"/>
              <w:right w:val="nil"/>
            </w:tcBorders>
            <w:shd w:val="clear" w:color="auto" w:fill="auto"/>
            <w:noWrap/>
            <w:vAlign w:val="center"/>
            <w:hideMark/>
          </w:tcPr>
          <w:p w14:paraId="65AB7104"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6,8</w:t>
            </w:r>
          </w:p>
        </w:tc>
        <w:tc>
          <w:tcPr>
            <w:tcW w:w="1134" w:type="dxa"/>
            <w:tcBorders>
              <w:top w:val="nil"/>
              <w:left w:val="nil"/>
              <w:bottom w:val="nil"/>
              <w:right w:val="nil"/>
            </w:tcBorders>
            <w:shd w:val="clear" w:color="auto" w:fill="auto"/>
            <w:noWrap/>
            <w:vAlign w:val="bottom"/>
            <w:hideMark/>
          </w:tcPr>
          <w:p w14:paraId="7D1B816A"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912</w:t>
            </w:r>
          </w:p>
        </w:tc>
        <w:tc>
          <w:tcPr>
            <w:tcW w:w="1144" w:type="dxa"/>
            <w:tcBorders>
              <w:top w:val="nil"/>
              <w:left w:val="nil"/>
              <w:bottom w:val="nil"/>
              <w:right w:val="nil"/>
            </w:tcBorders>
            <w:shd w:val="clear" w:color="auto" w:fill="auto"/>
            <w:noWrap/>
            <w:vAlign w:val="bottom"/>
            <w:hideMark/>
          </w:tcPr>
          <w:p w14:paraId="2340ACFB"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129.713</w:t>
            </w:r>
          </w:p>
        </w:tc>
        <w:tc>
          <w:tcPr>
            <w:tcW w:w="1084" w:type="dxa"/>
            <w:gridSpan w:val="2"/>
            <w:tcBorders>
              <w:top w:val="nil"/>
              <w:left w:val="nil"/>
              <w:bottom w:val="nil"/>
              <w:right w:val="nil"/>
            </w:tcBorders>
            <w:shd w:val="clear" w:color="auto" w:fill="auto"/>
            <w:noWrap/>
            <w:vAlign w:val="center"/>
            <w:hideMark/>
          </w:tcPr>
          <w:p w14:paraId="0338DB33"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142,23</w:t>
            </w:r>
          </w:p>
        </w:tc>
      </w:tr>
      <w:tr w:rsidR="00DE697F" w:rsidRPr="00DE697F" w14:paraId="2BD4FED8" w14:textId="77777777" w:rsidTr="00DE697F">
        <w:trPr>
          <w:trHeight w:val="20"/>
        </w:trPr>
        <w:tc>
          <w:tcPr>
            <w:tcW w:w="2268" w:type="dxa"/>
            <w:tcBorders>
              <w:top w:val="nil"/>
              <w:left w:val="nil"/>
              <w:bottom w:val="nil"/>
              <w:right w:val="nil"/>
            </w:tcBorders>
            <w:shd w:val="clear" w:color="auto" w:fill="auto"/>
            <w:noWrap/>
            <w:vAlign w:val="center"/>
            <w:hideMark/>
          </w:tcPr>
          <w:p w14:paraId="5CF9415B"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Mandioca</w:t>
            </w:r>
          </w:p>
        </w:tc>
        <w:tc>
          <w:tcPr>
            <w:tcW w:w="1276" w:type="dxa"/>
            <w:tcBorders>
              <w:top w:val="nil"/>
              <w:left w:val="nil"/>
              <w:bottom w:val="nil"/>
              <w:right w:val="nil"/>
            </w:tcBorders>
            <w:shd w:val="clear" w:color="auto" w:fill="auto"/>
            <w:noWrap/>
            <w:vAlign w:val="center"/>
            <w:hideMark/>
          </w:tcPr>
          <w:p w14:paraId="614D213D"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10.411</w:t>
            </w:r>
          </w:p>
        </w:tc>
        <w:tc>
          <w:tcPr>
            <w:tcW w:w="1040" w:type="dxa"/>
            <w:tcBorders>
              <w:top w:val="nil"/>
              <w:left w:val="nil"/>
              <w:bottom w:val="nil"/>
              <w:right w:val="nil"/>
            </w:tcBorders>
            <w:shd w:val="clear" w:color="auto" w:fill="auto"/>
            <w:noWrap/>
            <w:vAlign w:val="center"/>
            <w:hideMark/>
          </w:tcPr>
          <w:p w14:paraId="6701118D"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13.491</w:t>
            </w:r>
          </w:p>
        </w:tc>
        <w:tc>
          <w:tcPr>
            <w:tcW w:w="1228" w:type="dxa"/>
            <w:gridSpan w:val="2"/>
            <w:tcBorders>
              <w:top w:val="nil"/>
              <w:left w:val="nil"/>
              <w:bottom w:val="nil"/>
              <w:right w:val="nil"/>
            </w:tcBorders>
            <w:shd w:val="clear" w:color="auto" w:fill="auto"/>
            <w:noWrap/>
            <w:vAlign w:val="center"/>
            <w:hideMark/>
          </w:tcPr>
          <w:p w14:paraId="2F0B39BF"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1,3</w:t>
            </w:r>
          </w:p>
        </w:tc>
        <w:tc>
          <w:tcPr>
            <w:tcW w:w="1134" w:type="dxa"/>
            <w:tcBorders>
              <w:top w:val="nil"/>
              <w:left w:val="nil"/>
              <w:bottom w:val="nil"/>
              <w:right w:val="nil"/>
            </w:tcBorders>
            <w:shd w:val="clear" w:color="auto" w:fill="auto"/>
            <w:noWrap/>
            <w:vAlign w:val="bottom"/>
            <w:hideMark/>
          </w:tcPr>
          <w:p w14:paraId="5CB320F6"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15.348</w:t>
            </w:r>
          </w:p>
        </w:tc>
        <w:tc>
          <w:tcPr>
            <w:tcW w:w="1144" w:type="dxa"/>
            <w:tcBorders>
              <w:top w:val="nil"/>
              <w:left w:val="nil"/>
              <w:bottom w:val="nil"/>
              <w:right w:val="nil"/>
            </w:tcBorders>
            <w:shd w:val="clear" w:color="auto" w:fill="auto"/>
            <w:noWrap/>
            <w:vAlign w:val="bottom"/>
            <w:hideMark/>
          </w:tcPr>
          <w:p w14:paraId="5F046FA2"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13.190</w:t>
            </w:r>
          </w:p>
        </w:tc>
        <w:tc>
          <w:tcPr>
            <w:tcW w:w="1084" w:type="dxa"/>
            <w:gridSpan w:val="2"/>
            <w:tcBorders>
              <w:top w:val="nil"/>
              <w:left w:val="nil"/>
              <w:bottom w:val="nil"/>
              <w:right w:val="nil"/>
            </w:tcBorders>
            <w:shd w:val="clear" w:color="auto" w:fill="auto"/>
            <w:noWrap/>
            <w:vAlign w:val="center"/>
            <w:hideMark/>
          </w:tcPr>
          <w:p w14:paraId="483B73C4"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0,86</w:t>
            </w:r>
          </w:p>
        </w:tc>
      </w:tr>
      <w:tr w:rsidR="00DE697F" w:rsidRPr="00DE697F" w14:paraId="0D5A06C8" w14:textId="77777777" w:rsidTr="00DE697F">
        <w:trPr>
          <w:trHeight w:val="20"/>
        </w:trPr>
        <w:tc>
          <w:tcPr>
            <w:tcW w:w="2268" w:type="dxa"/>
            <w:tcBorders>
              <w:top w:val="nil"/>
              <w:left w:val="nil"/>
              <w:bottom w:val="nil"/>
              <w:right w:val="nil"/>
            </w:tcBorders>
            <w:shd w:val="clear" w:color="auto" w:fill="auto"/>
            <w:noWrap/>
            <w:vAlign w:val="center"/>
            <w:hideMark/>
          </w:tcPr>
          <w:p w14:paraId="254179BD"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Milho</w:t>
            </w:r>
          </w:p>
        </w:tc>
        <w:tc>
          <w:tcPr>
            <w:tcW w:w="1276" w:type="dxa"/>
            <w:tcBorders>
              <w:top w:val="nil"/>
              <w:left w:val="nil"/>
              <w:bottom w:val="nil"/>
              <w:right w:val="nil"/>
            </w:tcBorders>
            <w:shd w:val="clear" w:color="auto" w:fill="auto"/>
            <w:noWrap/>
            <w:vAlign w:val="center"/>
            <w:hideMark/>
          </w:tcPr>
          <w:p w14:paraId="5BE81642"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11.340</w:t>
            </w:r>
          </w:p>
        </w:tc>
        <w:tc>
          <w:tcPr>
            <w:tcW w:w="1040" w:type="dxa"/>
            <w:tcBorders>
              <w:top w:val="nil"/>
              <w:left w:val="nil"/>
              <w:bottom w:val="nil"/>
              <w:right w:val="nil"/>
            </w:tcBorders>
            <w:shd w:val="clear" w:color="auto" w:fill="auto"/>
            <w:noWrap/>
            <w:vAlign w:val="center"/>
            <w:hideMark/>
          </w:tcPr>
          <w:p w14:paraId="71AAD091"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1.123.925</w:t>
            </w:r>
          </w:p>
        </w:tc>
        <w:tc>
          <w:tcPr>
            <w:tcW w:w="1228" w:type="dxa"/>
            <w:gridSpan w:val="2"/>
            <w:tcBorders>
              <w:top w:val="nil"/>
              <w:left w:val="nil"/>
              <w:bottom w:val="nil"/>
              <w:right w:val="nil"/>
            </w:tcBorders>
            <w:shd w:val="clear" w:color="auto" w:fill="auto"/>
            <w:noWrap/>
            <w:vAlign w:val="center"/>
            <w:hideMark/>
          </w:tcPr>
          <w:p w14:paraId="41104EC6"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99,11</w:t>
            </w:r>
          </w:p>
        </w:tc>
        <w:tc>
          <w:tcPr>
            <w:tcW w:w="1134" w:type="dxa"/>
            <w:tcBorders>
              <w:top w:val="nil"/>
              <w:left w:val="nil"/>
              <w:right w:val="nil"/>
            </w:tcBorders>
            <w:shd w:val="clear" w:color="auto" w:fill="auto"/>
            <w:noWrap/>
            <w:vAlign w:val="bottom"/>
            <w:hideMark/>
          </w:tcPr>
          <w:p w14:paraId="29AAE4C3"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10.561</w:t>
            </w:r>
          </w:p>
        </w:tc>
        <w:tc>
          <w:tcPr>
            <w:tcW w:w="1144" w:type="dxa"/>
            <w:tcBorders>
              <w:top w:val="nil"/>
              <w:left w:val="nil"/>
              <w:right w:val="nil"/>
            </w:tcBorders>
            <w:shd w:val="clear" w:color="auto" w:fill="auto"/>
            <w:noWrap/>
            <w:vAlign w:val="bottom"/>
            <w:hideMark/>
          </w:tcPr>
          <w:p w14:paraId="1C16D6B9"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4.829.726</w:t>
            </w:r>
          </w:p>
        </w:tc>
        <w:tc>
          <w:tcPr>
            <w:tcW w:w="1084" w:type="dxa"/>
            <w:gridSpan w:val="2"/>
            <w:tcBorders>
              <w:top w:val="nil"/>
              <w:left w:val="nil"/>
              <w:right w:val="nil"/>
            </w:tcBorders>
            <w:shd w:val="clear" w:color="auto" w:fill="auto"/>
            <w:noWrap/>
            <w:vAlign w:val="center"/>
            <w:hideMark/>
          </w:tcPr>
          <w:p w14:paraId="33382E6E"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457,32</w:t>
            </w:r>
          </w:p>
        </w:tc>
      </w:tr>
      <w:tr w:rsidR="00DE697F" w:rsidRPr="00DE697F" w14:paraId="5A9BC3A3" w14:textId="77777777" w:rsidTr="00DE697F">
        <w:trPr>
          <w:trHeight w:val="20"/>
        </w:trPr>
        <w:tc>
          <w:tcPr>
            <w:tcW w:w="2268" w:type="dxa"/>
            <w:tcBorders>
              <w:top w:val="nil"/>
              <w:left w:val="nil"/>
              <w:bottom w:val="single" w:sz="8" w:space="0" w:color="auto"/>
              <w:right w:val="nil"/>
            </w:tcBorders>
            <w:shd w:val="clear" w:color="auto" w:fill="auto"/>
            <w:noWrap/>
            <w:vAlign w:val="center"/>
            <w:hideMark/>
          </w:tcPr>
          <w:p w14:paraId="51C2F1CF" w14:textId="77777777" w:rsidR="00DE697F" w:rsidRPr="00DE697F" w:rsidRDefault="00DE697F" w:rsidP="00DE697F">
            <w:pPr>
              <w:spacing w:after="0" w:line="240" w:lineRule="auto"/>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Soja</w:t>
            </w:r>
          </w:p>
        </w:tc>
        <w:tc>
          <w:tcPr>
            <w:tcW w:w="1276" w:type="dxa"/>
            <w:tcBorders>
              <w:top w:val="nil"/>
              <w:left w:val="nil"/>
              <w:bottom w:val="single" w:sz="8" w:space="0" w:color="auto"/>
              <w:right w:val="nil"/>
            </w:tcBorders>
            <w:shd w:val="clear" w:color="auto" w:fill="auto"/>
            <w:noWrap/>
            <w:vAlign w:val="center"/>
            <w:hideMark/>
          </w:tcPr>
          <w:p w14:paraId="3EC37328"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3.761</w:t>
            </w:r>
          </w:p>
        </w:tc>
        <w:tc>
          <w:tcPr>
            <w:tcW w:w="1040" w:type="dxa"/>
            <w:tcBorders>
              <w:top w:val="nil"/>
              <w:left w:val="nil"/>
              <w:bottom w:val="single" w:sz="8" w:space="0" w:color="auto"/>
              <w:right w:val="nil"/>
            </w:tcBorders>
            <w:shd w:val="clear" w:color="auto" w:fill="auto"/>
            <w:noWrap/>
            <w:vAlign w:val="center"/>
            <w:hideMark/>
          </w:tcPr>
          <w:p w14:paraId="6B25A104"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4.186.476</w:t>
            </w:r>
          </w:p>
        </w:tc>
        <w:tc>
          <w:tcPr>
            <w:tcW w:w="1228" w:type="dxa"/>
            <w:gridSpan w:val="2"/>
            <w:tcBorders>
              <w:top w:val="nil"/>
              <w:left w:val="nil"/>
              <w:bottom w:val="single" w:sz="8" w:space="0" w:color="auto"/>
              <w:right w:val="nil"/>
            </w:tcBorders>
            <w:shd w:val="clear" w:color="auto" w:fill="auto"/>
            <w:noWrap/>
            <w:vAlign w:val="center"/>
            <w:hideMark/>
          </w:tcPr>
          <w:p w14:paraId="1D9F0E57"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1.113,13</w:t>
            </w:r>
          </w:p>
        </w:tc>
        <w:tc>
          <w:tcPr>
            <w:tcW w:w="1134" w:type="dxa"/>
            <w:tcBorders>
              <w:top w:val="nil"/>
              <w:left w:val="nil"/>
              <w:bottom w:val="single" w:sz="4" w:space="0" w:color="auto"/>
              <w:right w:val="nil"/>
            </w:tcBorders>
            <w:shd w:val="clear" w:color="auto" w:fill="auto"/>
            <w:noWrap/>
            <w:vAlign w:val="bottom"/>
            <w:hideMark/>
          </w:tcPr>
          <w:p w14:paraId="79F5EB0E"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7.097</w:t>
            </w:r>
          </w:p>
        </w:tc>
        <w:tc>
          <w:tcPr>
            <w:tcW w:w="1144" w:type="dxa"/>
            <w:tcBorders>
              <w:top w:val="nil"/>
              <w:left w:val="nil"/>
              <w:bottom w:val="single" w:sz="4" w:space="0" w:color="auto"/>
              <w:right w:val="nil"/>
            </w:tcBorders>
            <w:shd w:val="clear" w:color="auto" w:fill="auto"/>
            <w:noWrap/>
            <w:vAlign w:val="bottom"/>
            <w:hideMark/>
          </w:tcPr>
          <w:p w14:paraId="6A4774EA" w14:textId="77777777" w:rsidR="00DE697F" w:rsidRPr="00DE697F" w:rsidRDefault="00DE697F" w:rsidP="00DE697F">
            <w:pPr>
              <w:spacing w:after="0" w:line="240" w:lineRule="auto"/>
              <w:jc w:val="center"/>
              <w:rPr>
                <w:rFonts w:ascii="Times New Roman" w:eastAsia="Times New Roman" w:hAnsi="Times New Roman" w:cs="Times New Roman"/>
                <w:color w:val="000000"/>
                <w:sz w:val="20"/>
                <w:szCs w:val="20"/>
              </w:rPr>
            </w:pPr>
            <w:r w:rsidRPr="00DE697F">
              <w:rPr>
                <w:rFonts w:ascii="Times New Roman" w:eastAsia="Times New Roman" w:hAnsi="Times New Roman" w:cs="Times New Roman"/>
                <w:color w:val="000000"/>
                <w:sz w:val="20"/>
                <w:szCs w:val="20"/>
              </w:rPr>
              <w:t>8.862.732</w:t>
            </w:r>
          </w:p>
        </w:tc>
        <w:tc>
          <w:tcPr>
            <w:tcW w:w="1084" w:type="dxa"/>
            <w:gridSpan w:val="2"/>
            <w:tcBorders>
              <w:top w:val="nil"/>
              <w:left w:val="nil"/>
              <w:bottom w:val="single" w:sz="4" w:space="0" w:color="auto"/>
              <w:right w:val="nil"/>
            </w:tcBorders>
            <w:shd w:val="clear" w:color="auto" w:fill="auto"/>
            <w:noWrap/>
            <w:vAlign w:val="center"/>
            <w:hideMark/>
          </w:tcPr>
          <w:p w14:paraId="525D2686" w14:textId="77777777" w:rsidR="00DE697F" w:rsidRPr="00DE697F" w:rsidRDefault="00DE697F" w:rsidP="00DE697F">
            <w:pPr>
              <w:spacing w:after="0" w:line="240" w:lineRule="auto"/>
              <w:jc w:val="center"/>
              <w:rPr>
                <w:rFonts w:ascii="Times New Roman" w:eastAsia="Times New Roman" w:hAnsi="Times New Roman" w:cs="Times New Roman"/>
                <w:b/>
                <w:bCs/>
                <w:color w:val="000000"/>
                <w:sz w:val="20"/>
                <w:szCs w:val="20"/>
              </w:rPr>
            </w:pPr>
            <w:r w:rsidRPr="00DE697F">
              <w:rPr>
                <w:rFonts w:ascii="Times New Roman" w:eastAsia="Times New Roman" w:hAnsi="Times New Roman" w:cs="Times New Roman"/>
                <w:b/>
                <w:bCs/>
                <w:color w:val="000000"/>
                <w:sz w:val="20"/>
                <w:szCs w:val="20"/>
              </w:rPr>
              <w:t>1</w:t>
            </w:r>
            <w:r w:rsidR="00555932">
              <w:rPr>
                <w:rFonts w:ascii="Times New Roman" w:eastAsia="Times New Roman" w:hAnsi="Times New Roman" w:cs="Times New Roman"/>
                <w:b/>
                <w:bCs/>
                <w:color w:val="000000"/>
                <w:sz w:val="20"/>
                <w:szCs w:val="20"/>
              </w:rPr>
              <w:t>.</w:t>
            </w:r>
            <w:r w:rsidRPr="00DE697F">
              <w:rPr>
                <w:rFonts w:ascii="Times New Roman" w:eastAsia="Times New Roman" w:hAnsi="Times New Roman" w:cs="Times New Roman"/>
                <w:b/>
                <w:bCs/>
                <w:color w:val="000000"/>
                <w:sz w:val="20"/>
                <w:szCs w:val="20"/>
              </w:rPr>
              <w:t>248,80</w:t>
            </w:r>
          </w:p>
        </w:tc>
      </w:tr>
    </w:tbl>
    <w:p w14:paraId="24AD1FB4" w14:textId="77777777" w:rsidR="00977B76" w:rsidRPr="0088141F" w:rsidRDefault="00977B76" w:rsidP="00DE697F">
      <w:pPr>
        <w:tabs>
          <w:tab w:val="left" w:pos="1455"/>
        </w:tabs>
        <w:spacing w:after="0" w:line="240" w:lineRule="auto"/>
        <w:contextualSpacing/>
        <w:rPr>
          <w:rFonts w:ascii="Times New Roman" w:hAnsi="Times New Roman" w:cs="Times New Roman"/>
        </w:rPr>
      </w:pPr>
      <w:r w:rsidRPr="0088141F">
        <w:rPr>
          <w:rFonts w:ascii="Times New Roman" w:hAnsi="Times New Roman" w:cs="Times New Roman"/>
          <w:b/>
        </w:rPr>
        <w:t>Fonte:</w:t>
      </w:r>
      <w:r w:rsidRPr="0088141F">
        <w:rPr>
          <w:rFonts w:ascii="Times New Roman" w:hAnsi="Times New Roman" w:cs="Times New Roman"/>
        </w:rPr>
        <w:t xml:space="preserve"> IBGE. Censo Agropecuário (2006; 2017).</w:t>
      </w:r>
    </w:p>
    <w:p w14:paraId="20A60DEA" w14:textId="77777777" w:rsidR="00DE697F" w:rsidRPr="0088141F" w:rsidRDefault="00DE697F" w:rsidP="00AF5703">
      <w:pPr>
        <w:spacing w:after="0" w:line="240" w:lineRule="auto"/>
        <w:jc w:val="both"/>
        <w:rPr>
          <w:rFonts w:ascii="Times New Roman" w:hAnsi="Times New Roman" w:cs="Times New Roman"/>
          <w:sz w:val="24"/>
          <w:szCs w:val="24"/>
        </w:rPr>
      </w:pPr>
    </w:p>
    <w:p w14:paraId="1D709577" w14:textId="4F4A44F5"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A análise das áreas médias colhidas das principais culturas agrícolas de Mato Grosso demonstra que </w:t>
      </w:r>
      <w:r w:rsidR="00B936EA" w:rsidRPr="0088141F">
        <w:rPr>
          <w:rFonts w:ascii="Times New Roman" w:hAnsi="Times New Roman" w:cs="Times New Roman"/>
          <w:sz w:val="24"/>
          <w:szCs w:val="24"/>
        </w:rPr>
        <w:t>elas</w:t>
      </w:r>
      <w:r w:rsidRPr="0088141F">
        <w:rPr>
          <w:rFonts w:ascii="Times New Roman" w:hAnsi="Times New Roman" w:cs="Times New Roman"/>
          <w:sz w:val="24"/>
          <w:szCs w:val="24"/>
        </w:rPr>
        <w:t xml:space="preserve"> estão muito acima das médias nacionais e foram elevadas, entre 2006 e 2017. O milho apresentou crescimento da área média de 3</w:t>
      </w:r>
      <w:r w:rsidR="00D14517">
        <w:rPr>
          <w:rFonts w:ascii="Times New Roman" w:hAnsi="Times New Roman" w:cs="Times New Roman"/>
          <w:sz w:val="24"/>
          <w:szCs w:val="24"/>
        </w:rPr>
        <w:t>61</w:t>
      </w:r>
      <w:r w:rsidRPr="0088141F">
        <w:rPr>
          <w:rFonts w:ascii="Times New Roman" w:hAnsi="Times New Roman" w:cs="Times New Roman"/>
          <w:sz w:val="24"/>
          <w:szCs w:val="24"/>
        </w:rPr>
        <w:t>,</w:t>
      </w:r>
      <w:r w:rsidR="00D14517">
        <w:rPr>
          <w:rFonts w:ascii="Times New Roman" w:hAnsi="Times New Roman" w:cs="Times New Roman"/>
          <w:sz w:val="24"/>
          <w:szCs w:val="24"/>
        </w:rPr>
        <w:t>4</w:t>
      </w:r>
      <w:r w:rsidRPr="0088141F">
        <w:rPr>
          <w:rFonts w:ascii="Times New Roman" w:hAnsi="Times New Roman" w:cs="Times New Roman"/>
          <w:sz w:val="24"/>
          <w:szCs w:val="24"/>
        </w:rPr>
        <w:t>%; a soja de 1</w:t>
      </w:r>
      <w:r w:rsidR="00D14517">
        <w:rPr>
          <w:rFonts w:ascii="Times New Roman" w:hAnsi="Times New Roman" w:cs="Times New Roman"/>
          <w:sz w:val="24"/>
          <w:szCs w:val="24"/>
        </w:rPr>
        <w:t>2</w:t>
      </w:r>
      <w:r w:rsidRPr="0088141F">
        <w:rPr>
          <w:rFonts w:ascii="Times New Roman" w:hAnsi="Times New Roman" w:cs="Times New Roman"/>
          <w:sz w:val="24"/>
          <w:szCs w:val="24"/>
        </w:rPr>
        <w:t>,</w:t>
      </w:r>
      <w:r w:rsidR="00D14517">
        <w:rPr>
          <w:rFonts w:ascii="Times New Roman" w:hAnsi="Times New Roman" w:cs="Times New Roman"/>
          <w:sz w:val="24"/>
          <w:szCs w:val="24"/>
        </w:rPr>
        <w:t>2</w:t>
      </w:r>
      <w:r w:rsidRPr="0088141F">
        <w:rPr>
          <w:rFonts w:ascii="Times New Roman" w:hAnsi="Times New Roman" w:cs="Times New Roman"/>
          <w:sz w:val="24"/>
          <w:szCs w:val="24"/>
        </w:rPr>
        <w:t xml:space="preserve">%; e o algodão de </w:t>
      </w:r>
      <w:r w:rsidR="00D14517">
        <w:rPr>
          <w:rFonts w:ascii="Times New Roman" w:hAnsi="Times New Roman" w:cs="Times New Roman"/>
          <w:sz w:val="24"/>
          <w:szCs w:val="24"/>
        </w:rPr>
        <w:t>10</w:t>
      </w:r>
      <w:r w:rsidRPr="0088141F">
        <w:rPr>
          <w:rFonts w:ascii="Times New Roman" w:hAnsi="Times New Roman" w:cs="Times New Roman"/>
          <w:sz w:val="24"/>
          <w:szCs w:val="24"/>
        </w:rPr>
        <w:t>,</w:t>
      </w:r>
      <w:r w:rsidR="00D14517">
        <w:rPr>
          <w:rFonts w:ascii="Times New Roman" w:hAnsi="Times New Roman" w:cs="Times New Roman"/>
          <w:sz w:val="24"/>
          <w:szCs w:val="24"/>
        </w:rPr>
        <w:t>9</w:t>
      </w:r>
      <w:r w:rsidRPr="0088141F">
        <w:rPr>
          <w:rFonts w:ascii="Times New Roman" w:hAnsi="Times New Roman" w:cs="Times New Roman"/>
          <w:sz w:val="24"/>
          <w:szCs w:val="24"/>
        </w:rPr>
        <w:t>%. Mas o caso a se destacar é o do feijão, cuja área média colhida cresceu 1.9</w:t>
      </w:r>
      <w:r w:rsidR="00D14517">
        <w:rPr>
          <w:rFonts w:ascii="Times New Roman" w:hAnsi="Times New Roman" w:cs="Times New Roman"/>
          <w:sz w:val="24"/>
          <w:szCs w:val="24"/>
        </w:rPr>
        <w:t>91,6</w:t>
      </w:r>
      <w:r w:rsidRPr="0088141F">
        <w:rPr>
          <w:rFonts w:ascii="Times New Roman" w:hAnsi="Times New Roman" w:cs="Times New Roman"/>
          <w:sz w:val="24"/>
          <w:szCs w:val="24"/>
        </w:rPr>
        <w:t xml:space="preserve">%, o </w:t>
      </w:r>
      <w:r w:rsidRPr="0088141F">
        <w:rPr>
          <w:rFonts w:ascii="Times New Roman" w:hAnsi="Times New Roman" w:cs="Times New Roman"/>
          <w:sz w:val="24"/>
          <w:szCs w:val="24"/>
        </w:rPr>
        <w:lastRenderedPageBreak/>
        <w:t>que evidencia a sua incorporação à produção local, em larga escala, diferentemente do que revelam os dados para o Brasil, como um todo. Contribuiu, para tanto, o uso de irrigação por pivô central que permite, em algumas áreas, que a semeadura ocorra em um sistema que se interpõe após as culturas da soja e do milho ou da soja e do algodão</w:t>
      </w:r>
      <w:r w:rsidR="00D14517">
        <w:rPr>
          <w:rFonts w:ascii="Times New Roman" w:hAnsi="Times New Roman" w:cs="Times New Roman"/>
          <w:sz w:val="24"/>
          <w:szCs w:val="24"/>
        </w:rPr>
        <w:t>, conforme destacada anteriormente.</w:t>
      </w:r>
    </w:p>
    <w:p w14:paraId="0322A657" w14:textId="27494E4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 </w:t>
      </w:r>
      <w:r w:rsidRPr="00D14517">
        <w:rPr>
          <w:rFonts w:ascii="Times New Roman" w:hAnsi="Times New Roman" w:cs="Times New Roman"/>
          <w:sz w:val="24"/>
          <w:szCs w:val="24"/>
        </w:rPr>
        <w:t xml:space="preserve">Gráfico </w:t>
      </w:r>
      <w:r w:rsidR="00917EC9" w:rsidRPr="00D14517">
        <w:rPr>
          <w:rFonts w:ascii="Times New Roman" w:hAnsi="Times New Roman" w:cs="Times New Roman"/>
          <w:sz w:val="24"/>
          <w:szCs w:val="24"/>
        </w:rPr>
        <w:t>4</w:t>
      </w:r>
      <w:r w:rsidRPr="0088141F">
        <w:rPr>
          <w:rFonts w:ascii="Times New Roman" w:hAnsi="Times New Roman" w:cs="Times New Roman"/>
          <w:sz w:val="24"/>
          <w:szCs w:val="24"/>
        </w:rPr>
        <w:t xml:space="preserve"> retoma a análise da área colhida e do rendimento médio da lavoura de soja, para o período recente. Constata-se que apesar de um período de queda da área plantada, entre 2005 e 2009, </w:t>
      </w:r>
      <w:r w:rsidR="006A4C7D" w:rsidRPr="0088141F">
        <w:rPr>
          <w:rFonts w:ascii="Times New Roman" w:hAnsi="Times New Roman" w:cs="Times New Roman"/>
          <w:sz w:val="24"/>
          <w:szCs w:val="24"/>
        </w:rPr>
        <w:t>ela</w:t>
      </w:r>
      <w:r w:rsidRPr="0088141F">
        <w:rPr>
          <w:rFonts w:ascii="Times New Roman" w:hAnsi="Times New Roman" w:cs="Times New Roman"/>
          <w:sz w:val="24"/>
          <w:szCs w:val="24"/>
        </w:rPr>
        <w:t xml:space="preserve"> foi ampliada em 49% nos anos posteriores.</w:t>
      </w:r>
    </w:p>
    <w:p w14:paraId="6353FC3E" w14:textId="77777777" w:rsidR="00BA13CE" w:rsidRPr="0088141F" w:rsidRDefault="00BA13CE" w:rsidP="00AF5703">
      <w:pPr>
        <w:spacing w:after="0" w:line="240" w:lineRule="auto"/>
        <w:jc w:val="both"/>
        <w:rPr>
          <w:rFonts w:ascii="Times New Roman" w:hAnsi="Times New Roman" w:cs="Times New Roman"/>
          <w:b/>
          <w:sz w:val="24"/>
          <w:szCs w:val="24"/>
        </w:rPr>
      </w:pPr>
      <w:bookmarkStart w:id="20" w:name="_Toc2204474"/>
    </w:p>
    <w:p w14:paraId="2800CFE9" w14:textId="77777777" w:rsidR="00977B76" w:rsidRPr="0088141F" w:rsidRDefault="00977B76" w:rsidP="00AF5703">
      <w:pPr>
        <w:spacing w:after="0" w:line="240" w:lineRule="auto"/>
        <w:jc w:val="both"/>
        <w:rPr>
          <w:rFonts w:ascii="Times New Roman" w:hAnsi="Times New Roman" w:cs="Times New Roman"/>
          <w:b/>
          <w:sz w:val="24"/>
          <w:szCs w:val="24"/>
        </w:rPr>
      </w:pPr>
      <w:r w:rsidRPr="00D14517">
        <w:rPr>
          <w:rFonts w:ascii="Times New Roman" w:hAnsi="Times New Roman" w:cs="Times New Roman"/>
          <w:b/>
          <w:sz w:val="24"/>
          <w:szCs w:val="24"/>
        </w:rPr>
        <w:t xml:space="preserve">Gráfico </w:t>
      </w:r>
      <w:r w:rsidR="00917EC9" w:rsidRPr="0088141F">
        <w:rPr>
          <w:rFonts w:ascii="Times New Roman" w:hAnsi="Times New Roman" w:cs="Times New Roman"/>
          <w:b/>
          <w:sz w:val="24"/>
          <w:szCs w:val="24"/>
        </w:rPr>
        <w:t>4</w:t>
      </w:r>
      <w:r w:rsidRPr="0088141F">
        <w:rPr>
          <w:rFonts w:ascii="Times New Roman" w:hAnsi="Times New Roman" w:cs="Times New Roman"/>
          <w:b/>
          <w:sz w:val="24"/>
          <w:szCs w:val="24"/>
        </w:rPr>
        <w:t>: Área Plantada (ha) e Rendimento Médio (kg/ha) da Produção da Lavoura de Soja no Mato Grosso.</w:t>
      </w:r>
      <w:bookmarkEnd w:id="20"/>
    </w:p>
    <w:p w14:paraId="4234F204" w14:textId="77777777" w:rsidR="00977B76" w:rsidRPr="0088141F" w:rsidRDefault="00977B76" w:rsidP="00AF5703">
      <w:pPr>
        <w:spacing w:after="0" w:line="240" w:lineRule="auto"/>
        <w:jc w:val="both"/>
        <w:rPr>
          <w:rFonts w:ascii="Times New Roman" w:hAnsi="Times New Roman" w:cs="Times New Roman"/>
          <w:sz w:val="24"/>
          <w:szCs w:val="24"/>
        </w:rPr>
      </w:pPr>
      <w:r w:rsidRPr="0088141F">
        <w:rPr>
          <w:rFonts w:ascii="Times New Roman" w:hAnsi="Times New Roman" w:cs="Times New Roman"/>
          <w:noProof/>
        </w:rPr>
        <w:drawing>
          <wp:inline distT="0" distB="0" distL="0" distR="0" wp14:anchorId="61655E0E" wp14:editId="08D63913">
            <wp:extent cx="5748655" cy="2952750"/>
            <wp:effectExtent l="0" t="0" r="4445"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354B2A" w14:textId="77777777" w:rsidR="00977B76" w:rsidRPr="0088141F" w:rsidRDefault="00977B76" w:rsidP="00AF5703">
      <w:pPr>
        <w:spacing w:after="0" w:line="240" w:lineRule="auto"/>
        <w:jc w:val="both"/>
        <w:rPr>
          <w:rFonts w:ascii="Times New Roman" w:hAnsi="Times New Roman" w:cs="Times New Roman"/>
          <w:sz w:val="20"/>
          <w:szCs w:val="20"/>
        </w:rPr>
      </w:pPr>
      <w:r w:rsidRPr="0088141F">
        <w:rPr>
          <w:rFonts w:ascii="Times New Roman" w:hAnsi="Times New Roman" w:cs="Times New Roman"/>
          <w:b/>
          <w:sz w:val="20"/>
          <w:szCs w:val="20"/>
        </w:rPr>
        <w:t>Fonte:</w:t>
      </w:r>
      <w:r w:rsidRPr="0088141F">
        <w:rPr>
          <w:rFonts w:ascii="Times New Roman" w:hAnsi="Times New Roman" w:cs="Times New Roman"/>
          <w:sz w:val="20"/>
          <w:szCs w:val="20"/>
        </w:rPr>
        <w:t xml:space="preserve"> IBGE/SIDRA. Produção Agrícola Municipal (2018).</w:t>
      </w:r>
    </w:p>
    <w:p w14:paraId="0B913738" w14:textId="77777777" w:rsidR="00977B76" w:rsidRPr="0088141F" w:rsidRDefault="00977B76" w:rsidP="00AF5703">
      <w:pPr>
        <w:spacing w:after="0" w:line="240" w:lineRule="auto"/>
        <w:jc w:val="both"/>
        <w:rPr>
          <w:rFonts w:ascii="Times New Roman" w:hAnsi="Times New Roman" w:cs="Times New Roman"/>
          <w:sz w:val="24"/>
          <w:szCs w:val="24"/>
        </w:rPr>
      </w:pPr>
    </w:p>
    <w:p w14:paraId="5D001238" w14:textId="424CCF10"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Nesse sentido, Macedo </w:t>
      </w:r>
      <w:r w:rsidRPr="0088141F">
        <w:rPr>
          <w:rFonts w:ascii="Times New Roman" w:hAnsi="Times New Roman" w:cs="Times New Roman"/>
          <w:i/>
          <w:sz w:val="24"/>
          <w:szCs w:val="24"/>
        </w:rPr>
        <w:t>et al</w:t>
      </w:r>
      <w:r w:rsidRPr="0088141F">
        <w:rPr>
          <w:rFonts w:ascii="Times New Roman" w:hAnsi="Times New Roman" w:cs="Times New Roman"/>
          <w:sz w:val="24"/>
          <w:szCs w:val="24"/>
        </w:rPr>
        <w:t>. (2012), apresenta</w:t>
      </w:r>
      <w:r w:rsidR="006A4C7D">
        <w:rPr>
          <w:rFonts w:ascii="Times New Roman" w:hAnsi="Times New Roman" w:cs="Times New Roman"/>
          <w:sz w:val="24"/>
          <w:szCs w:val="24"/>
        </w:rPr>
        <w:t>m</w:t>
      </w:r>
      <w:r w:rsidRPr="0088141F">
        <w:rPr>
          <w:rFonts w:ascii="Times New Roman" w:hAnsi="Times New Roman" w:cs="Times New Roman"/>
          <w:sz w:val="24"/>
          <w:szCs w:val="24"/>
        </w:rPr>
        <w:t xml:space="preserve"> a relação entre a expansão da soja e o desmatamento, em Mato Grosso, em dois períodos: (i) o primeiro, de 2000 a 2005, em que o estado liderou o desmatamento na Amazônia e no qual o aumento da área plantada foi responsável pelo crescimento da produção; e (</w:t>
      </w:r>
      <w:proofErr w:type="spellStart"/>
      <w:r w:rsidRPr="0088141F">
        <w:rPr>
          <w:rFonts w:ascii="Times New Roman" w:hAnsi="Times New Roman" w:cs="Times New Roman"/>
          <w:sz w:val="24"/>
          <w:szCs w:val="24"/>
        </w:rPr>
        <w:t>ii</w:t>
      </w:r>
      <w:proofErr w:type="spellEnd"/>
      <w:r w:rsidRPr="0088141F">
        <w:rPr>
          <w:rFonts w:ascii="Times New Roman" w:hAnsi="Times New Roman" w:cs="Times New Roman"/>
          <w:sz w:val="24"/>
          <w:szCs w:val="24"/>
        </w:rPr>
        <w:t xml:space="preserve">) o segundo, quando a área cultivada da soja diminuiu, entre 2006 (inclusive) e 2009, mas ocorreu um aumento na produção de 20%, via ganhos de produtividade, com destaque para o ano de 2008, quando o rendimento foi de 3.145 kg/ha. </w:t>
      </w:r>
    </w:p>
    <w:p w14:paraId="66C7D4FE" w14:textId="1589389C"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Outro fator que contribuiu para a menor expansão de área plantada, após 2006, foi a “Moratória da Soja”, coordenada por associações empresariais que controlam um volume expressivo da soja comercializada no país e com o apoio de entidades não governamentais, </w:t>
      </w:r>
      <w:r w:rsidR="00D14517">
        <w:rPr>
          <w:rFonts w:ascii="Times New Roman" w:hAnsi="Times New Roman" w:cs="Times New Roman"/>
          <w:sz w:val="24"/>
          <w:szCs w:val="24"/>
        </w:rPr>
        <w:t xml:space="preserve">atuaram </w:t>
      </w:r>
      <w:r w:rsidRPr="0088141F">
        <w:rPr>
          <w:rFonts w:ascii="Times New Roman" w:hAnsi="Times New Roman" w:cs="Times New Roman"/>
          <w:sz w:val="24"/>
          <w:szCs w:val="24"/>
        </w:rPr>
        <w:t xml:space="preserve">com o intuito de inibir o avanço da sojicultura sobre a floresta tropical do bioma Amazônia, sem comercializar soja de áreas que sejam originadas de desmatamento, </w:t>
      </w:r>
      <w:r w:rsidR="002B5F7B">
        <w:rPr>
          <w:rFonts w:ascii="Times New Roman" w:hAnsi="Times New Roman" w:cs="Times New Roman"/>
          <w:sz w:val="24"/>
          <w:szCs w:val="24"/>
        </w:rPr>
        <w:t>neste bioma</w:t>
      </w:r>
      <w:r w:rsidRPr="0088141F">
        <w:rPr>
          <w:rFonts w:ascii="Times New Roman" w:hAnsi="Times New Roman" w:cs="Times New Roman"/>
          <w:sz w:val="24"/>
          <w:szCs w:val="24"/>
        </w:rPr>
        <w:t>. A colaboração do Ministério do Meio Ambiente com a Moratória, entre 2008 e 2009, fortaleceu este movimento.</w:t>
      </w:r>
    </w:p>
    <w:p w14:paraId="1B430EA2"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O aumento da área plantada, a partir de 2010, deveu-se, como já foi afirmado, em particular, à penetração em áreas de pastagem, uma vez que o desmatamento no estado se manteve baixo quando comparado com os dados da Amazônia.</w:t>
      </w:r>
      <w:r w:rsidR="0004216C">
        <w:rPr>
          <w:rFonts w:ascii="Times New Roman" w:hAnsi="Times New Roman" w:cs="Times New Roman"/>
          <w:sz w:val="24"/>
          <w:szCs w:val="24"/>
        </w:rPr>
        <w:t xml:space="preserve"> </w:t>
      </w:r>
      <w:r w:rsidRPr="0088141F">
        <w:rPr>
          <w:rFonts w:ascii="Times New Roman" w:hAnsi="Times New Roman" w:cs="Times New Roman"/>
          <w:sz w:val="24"/>
          <w:szCs w:val="24"/>
        </w:rPr>
        <w:t xml:space="preserve">Mato Grosso foi o primeiro estado da Amazônia Legal a estruturar um sistema de Licenciamento Ambiental das propriedades rurais, utilizando o Sensoriamento Remoto e Sistema de Informações Geográficas </w:t>
      </w:r>
      <w:r w:rsidRPr="0088141F">
        <w:rPr>
          <w:rFonts w:ascii="Times New Roman" w:hAnsi="Times New Roman" w:cs="Times New Roman"/>
          <w:sz w:val="24"/>
          <w:szCs w:val="24"/>
        </w:rPr>
        <w:lastRenderedPageBreak/>
        <w:t>(SIG), nominado como Sistema de Licenciamento Ambiental de Propriedades Rurais (SLAPR).</w:t>
      </w:r>
      <w:r w:rsidRPr="0088141F">
        <w:rPr>
          <w:rStyle w:val="Refdenotaderodap"/>
          <w:rFonts w:ascii="Times New Roman" w:hAnsi="Times New Roman" w:cs="Times New Roman"/>
          <w:sz w:val="24"/>
          <w:szCs w:val="24"/>
        </w:rPr>
        <w:footnoteReference w:id="19"/>
      </w:r>
      <w:r w:rsidRPr="0088141F">
        <w:rPr>
          <w:rFonts w:ascii="Times New Roman" w:hAnsi="Times New Roman" w:cs="Times New Roman"/>
          <w:sz w:val="24"/>
          <w:szCs w:val="24"/>
        </w:rPr>
        <w:t xml:space="preserve"> Um dos objetivos do SLAPR foi o de regularizar os desmatamentos e punir as ações ilegais sobre a vegetação nativa nas áreas rurais do estado, operando, mediante a articulação, entre as ações de fiscalização, monitoramento e licenciamento ambiental. </w:t>
      </w:r>
    </w:p>
    <w:p w14:paraId="532F6F31"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O período de maior desmatamento coincidiu, justamente, com a entrada em operação do programa. Segundo Azevedo e Saito (2012), entre 2000 e 2007, foram desmatados 1.420.500,50 hectares em propriedades rurais licenciadas, com participação maior de propriedades, acima de 200 hectares, onde foram registrados os maiores polígonos de abertura de áreas, até 2005. Para os autores, a atuação do órgão de licenciamento esteve pautada na regularização ambiental, como condição necessária ao exercício pleno da atividade produtiva, inclusive quanto ao acesso a crédito e à colocação dos produtos no mercado.</w:t>
      </w:r>
    </w:p>
    <w:p w14:paraId="5DC9823E"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Após 2005, registrou-se a redução do desmatamento no estado. Para Azevedo e Saito (2012), tal condição pode ser atribuída a uma menor governança operacional no novo órgão ambiental, após ações de combate ao desmatamento ilegal</w:t>
      </w:r>
      <w:r w:rsidRPr="0088141F">
        <w:rPr>
          <w:rFonts w:ascii="Times New Roman" w:hAnsi="Times New Roman" w:cs="Times New Roman"/>
          <w:sz w:val="24"/>
          <w:szCs w:val="24"/>
          <w:vertAlign w:val="superscript"/>
        </w:rPr>
        <w:footnoteReference w:id="20"/>
      </w:r>
      <w:r w:rsidRPr="0088141F">
        <w:rPr>
          <w:rFonts w:ascii="Times New Roman" w:hAnsi="Times New Roman" w:cs="Times New Roman"/>
          <w:sz w:val="24"/>
          <w:szCs w:val="24"/>
        </w:rPr>
        <w:t xml:space="preserve"> e a um aumento no desmatamento em áreas menores, mais difíceis de serem identificadas pelo sistema de monitoramento.</w:t>
      </w:r>
    </w:p>
    <w:p w14:paraId="21898924" w14:textId="1FB76941"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Na área de Cerrado, do mesmo modo, houve uma significativa redução da taxa média de desmatamento, a qual, para o período entre 2000 e 2009, esteve próxima de 1.010 km</w:t>
      </w:r>
      <w:r w:rsidRPr="0088141F">
        <w:rPr>
          <w:rFonts w:ascii="Times New Roman" w:hAnsi="Times New Roman" w:cs="Times New Roman"/>
          <w:sz w:val="24"/>
          <w:szCs w:val="24"/>
          <w:vertAlign w:val="superscript"/>
        </w:rPr>
        <w:t>2</w:t>
      </w:r>
      <w:r w:rsidRPr="0088141F">
        <w:rPr>
          <w:rFonts w:ascii="Times New Roman" w:hAnsi="Times New Roman" w:cs="Times New Roman"/>
          <w:sz w:val="24"/>
          <w:szCs w:val="24"/>
        </w:rPr>
        <w:t xml:space="preserve">/ano. Todavia, no ano de 2017, o incremento de área desmatada nesse bioma foi de 1.253,4 km², demonstrando que, apesar de níveis mais baixos, o desmatamento permanece, enquanto os impactos sobre a biodiversidade se acentuam, sendo esse o bioma mais ameaçado do território nacional, atualmente. Nesse sentido, estudos recentes demonstram </w:t>
      </w:r>
      <w:r w:rsidR="00003367">
        <w:rPr>
          <w:rFonts w:ascii="Times New Roman" w:hAnsi="Times New Roman" w:cs="Times New Roman"/>
          <w:sz w:val="24"/>
          <w:szCs w:val="24"/>
        </w:rPr>
        <w:t>um</w:t>
      </w:r>
      <w:r w:rsidRPr="0088141F">
        <w:rPr>
          <w:rFonts w:ascii="Times New Roman" w:hAnsi="Times New Roman" w:cs="Times New Roman"/>
          <w:sz w:val="24"/>
          <w:szCs w:val="24"/>
        </w:rPr>
        <w:t xml:space="preserve">a mudança no regime de chuvas no Cerrado, em decorrência da expansão agrícola e concluem “que as grandes plantações reciclam menos água que as áreas cobertas por vegetação nativa” (CASTRO, 2016). </w:t>
      </w:r>
    </w:p>
    <w:p w14:paraId="345EEC51"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 xml:space="preserve">Outro grave problema está no elevado grau de ilegalidade do desmatamento. A análise dos dados do PRODES, para o ano de 2017, mostrou que, do total identificado em Mato Grosso, apenas 10% foi realizado em áreas com autorizações para desmatamento ou supressão de vegetação válidas emitidas pelo órgão ambiental estadual (ICV, 2017). A abertura irregular de áreas ocorre, de forma mais acentuada, em áreas de grandes conflitos de terra e de exploração florestal, situações difíceis de serem tratadas, inclusive pelo estado, uma vez que </w:t>
      </w:r>
      <w:proofErr w:type="gramStart"/>
      <w:r w:rsidRPr="0088141F">
        <w:rPr>
          <w:rFonts w:ascii="Times New Roman" w:hAnsi="Times New Roman" w:cs="Times New Roman"/>
          <w:sz w:val="24"/>
          <w:szCs w:val="24"/>
        </w:rPr>
        <w:t>o mesmo</w:t>
      </w:r>
      <w:proofErr w:type="gramEnd"/>
      <w:r w:rsidRPr="0088141F">
        <w:rPr>
          <w:rFonts w:ascii="Times New Roman" w:hAnsi="Times New Roman" w:cs="Times New Roman"/>
          <w:sz w:val="24"/>
          <w:szCs w:val="24"/>
        </w:rPr>
        <w:t xml:space="preserve"> se encontra enlaçado pelo poder econômico.</w:t>
      </w:r>
    </w:p>
    <w:p w14:paraId="389CA8C8"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No entanto, em áreas mais antigas de abertura florestal, é evidente a reconversão para áreas de pastagem e agrícolas. O município de Marcelândia</w:t>
      </w:r>
      <w:r w:rsidR="0004216C">
        <w:rPr>
          <w:rFonts w:ascii="Times New Roman" w:hAnsi="Times New Roman" w:cs="Times New Roman"/>
          <w:sz w:val="24"/>
          <w:szCs w:val="24"/>
        </w:rPr>
        <w:t>, localizado na região Norte do estado,</w:t>
      </w:r>
      <w:r w:rsidRPr="0088141F">
        <w:rPr>
          <w:rFonts w:ascii="Times New Roman" w:hAnsi="Times New Roman" w:cs="Times New Roman"/>
          <w:sz w:val="24"/>
          <w:szCs w:val="24"/>
        </w:rPr>
        <w:t xml:space="preserve"> demonstra claramente essa transição. Com grande participação na produção florestal (madeira), o município elevou a área de produção de soja de 1.500 para 57.000 hectares, entre 2010 e 2017.</w:t>
      </w:r>
    </w:p>
    <w:p w14:paraId="6D03D3D3" w14:textId="77777777" w:rsidR="00977B76" w:rsidRPr="0088141F" w:rsidRDefault="00977B76" w:rsidP="00AF5703">
      <w:pPr>
        <w:spacing w:after="0" w:line="240" w:lineRule="auto"/>
        <w:ind w:firstLine="708"/>
        <w:jc w:val="both"/>
        <w:rPr>
          <w:rFonts w:ascii="Times New Roman" w:hAnsi="Times New Roman" w:cs="Times New Roman"/>
          <w:sz w:val="24"/>
          <w:szCs w:val="24"/>
        </w:rPr>
      </w:pPr>
      <w:r w:rsidRPr="0088141F">
        <w:rPr>
          <w:rFonts w:ascii="Times New Roman" w:hAnsi="Times New Roman" w:cs="Times New Roman"/>
          <w:sz w:val="24"/>
          <w:szCs w:val="24"/>
        </w:rPr>
        <w:t>Assim, embora a área de produção agrícola represente pouco mais de 10% do território estadual e a pecuária 23%, o modelo de produção que se consolidou tem sido fortemente concentrador e provocador de externalidades, entre as quais estão as que atingem a população via consumo de alimentos e água e das que provocam mudanças climáticas (em especial, alteram o regime de chuvas).</w:t>
      </w:r>
    </w:p>
    <w:p w14:paraId="46E23752" w14:textId="39832CBD" w:rsidR="0004216C" w:rsidRDefault="0004216C">
      <w:pPr>
        <w:rPr>
          <w:rFonts w:ascii="Times New Roman" w:eastAsia="Times New Roman" w:hAnsi="Times New Roman" w:cs="Times New Roman"/>
          <w:sz w:val="24"/>
          <w:szCs w:val="24"/>
        </w:rPr>
      </w:pPr>
    </w:p>
    <w:p w14:paraId="6F710D64" w14:textId="77777777" w:rsidR="00AF5703" w:rsidRPr="0088141F" w:rsidRDefault="00454339" w:rsidP="007E0253">
      <w:pPr>
        <w:tabs>
          <w:tab w:val="left" w:pos="36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 </w:t>
      </w:r>
      <w:r w:rsidR="00201D02" w:rsidRPr="0088141F">
        <w:rPr>
          <w:rFonts w:ascii="Times New Roman" w:eastAsia="Times New Roman" w:hAnsi="Times New Roman" w:cs="Times New Roman"/>
          <w:b/>
          <w:sz w:val="24"/>
          <w:szCs w:val="24"/>
        </w:rPr>
        <w:t>Considerações Finais</w:t>
      </w:r>
    </w:p>
    <w:p w14:paraId="5F1BB5E7" w14:textId="77777777" w:rsidR="000D031D" w:rsidRDefault="000D031D" w:rsidP="007E0253">
      <w:pPr>
        <w:spacing w:after="0" w:line="240" w:lineRule="auto"/>
        <w:ind w:firstLine="709"/>
        <w:jc w:val="both"/>
        <w:rPr>
          <w:rFonts w:ascii="Times New Roman" w:hAnsi="Times New Roman"/>
          <w:color w:val="000000"/>
          <w:sz w:val="24"/>
          <w:szCs w:val="24"/>
        </w:rPr>
      </w:pPr>
    </w:p>
    <w:p w14:paraId="451E536E" w14:textId="0E0CEF5B" w:rsidR="00887294" w:rsidRDefault="006E1521" w:rsidP="00430B58">
      <w:pPr>
        <w:spacing w:after="0" w:line="240" w:lineRule="auto"/>
        <w:ind w:firstLine="709"/>
        <w:jc w:val="both"/>
        <w:rPr>
          <w:rFonts w:ascii="Times New Roman" w:hAnsi="Times New Roman"/>
          <w:color w:val="000000"/>
          <w:sz w:val="24"/>
          <w:szCs w:val="24"/>
        </w:rPr>
      </w:pPr>
      <w:r w:rsidRPr="00430B58">
        <w:rPr>
          <w:rFonts w:ascii="Times New Roman" w:hAnsi="Times New Roman"/>
          <w:color w:val="000000"/>
          <w:sz w:val="24"/>
          <w:szCs w:val="24"/>
        </w:rPr>
        <w:t xml:space="preserve">Ao transcorrer deste </w:t>
      </w:r>
      <w:r w:rsidR="00D46A24">
        <w:rPr>
          <w:rFonts w:ascii="Times New Roman" w:hAnsi="Times New Roman"/>
          <w:color w:val="000000"/>
          <w:sz w:val="24"/>
          <w:szCs w:val="24"/>
        </w:rPr>
        <w:t>artigo</w:t>
      </w:r>
      <w:r w:rsidRPr="00430B58">
        <w:rPr>
          <w:rFonts w:ascii="Times New Roman" w:hAnsi="Times New Roman"/>
          <w:color w:val="000000"/>
          <w:sz w:val="24"/>
          <w:szCs w:val="24"/>
        </w:rPr>
        <w:t xml:space="preserve">, buscou-se apresentar elementos tidos como estruturais da </w:t>
      </w:r>
      <w:r w:rsidR="00430B58" w:rsidRPr="00430B58">
        <w:rPr>
          <w:rFonts w:ascii="Times New Roman" w:hAnsi="Times New Roman"/>
          <w:color w:val="000000"/>
          <w:sz w:val="24"/>
          <w:szCs w:val="24"/>
        </w:rPr>
        <w:t>agropecuária</w:t>
      </w:r>
      <w:r w:rsidRPr="00430B58">
        <w:rPr>
          <w:rFonts w:ascii="Times New Roman" w:hAnsi="Times New Roman"/>
          <w:color w:val="000000"/>
          <w:sz w:val="24"/>
          <w:szCs w:val="24"/>
        </w:rPr>
        <w:t xml:space="preserve"> mato-grossense e como o avanço da especialização produtiva tem relação direta com a questão fundiária e impactos ambientais relevantes. </w:t>
      </w:r>
      <w:r w:rsidR="00887294">
        <w:rPr>
          <w:rFonts w:ascii="Times New Roman" w:hAnsi="Times New Roman"/>
          <w:color w:val="000000"/>
          <w:sz w:val="24"/>
          <w:szCs w:val="24"/>
        </w:rPr>
        <w:t xml:space="preserve">O desempenho recente da economia </w:t>
      </w:r>
      <w:r w:rsidR="003D3179">
        <w:rPr>
          <w:rFonts w:ascii="Times New Roman" w:hAnsi="Times New Roman"/>
          <w:color w:val="000000"/>
          <w:sz w:val="24"/>
          <w:szCs w:val="24"/>
        </w:rPr>
        <w:t>estadual</w:t>
      </w:r>
      <w:r w:rsidR="00887294">
        <w:rPr>
          <w:rFonts w:ascii="Times New Roman" w:hAnsi="Times New Roman"/>
          <w:color w:val="000000"/>
          <w:sz w:val="24"/>
          <w:szCs w:val="24"/>
        </w:rPr>
        <w:t xml:space="preserve"> tem demonstrado uma importante dependência do dinamismo da economia local em relação à exportação de bens primários não ou pouco processados. Tal relação impõem riscos quanto a volatilidade de seus preços e oscilações das quantidades compradas pelos países importadores</w:t>
      </w:r>
      <w:r w:rsidR="002F6979">
        <w:rPr>
          <w:rFonts w:ascii="Times New Roman" w:hAnsi="Times New Roman"/>
          <w:color w:val="000000"/>
          <w:sz w:val="24"/>
          <w:szCs w:val="24"/>
        </w:rPr>
        <w:t>, ainda pouco avaliadas na economia local</w:t>
      </w:r>
      <w:r w:rsidR="00887294">
        <w:rPr>
          <w:rFonts w:ascii="Times New Roman" w:hAnsi="Times New Roman"/>
          <w:color w:val="000000"/>
          <w:sz w:val="24"/>
          <w:szCs w:val="24"/>
        </w:rPr>
        <w:t xml:space="preserve">. </w:t>
      </w:r>
    </w:p>
    <w:p w14:paraId="37738E1C" w14:textId="77777777" w:rsidR="00887294" w:rsidRDefault="006E1521" w:rsidP="00430B58">
      <w:pPr>
        <w:spacing w:after="0" w:line="240" w:lineRule="auto"/>
        <w:ind w:firstLine="709"/>
        <w:jc w:val="both"/>
        <w:rPr>
          <w:rFonts w:ascii="Times New Roman" w:hAnsi="Times New Roman"/>
          <w:color w:val="000000"/>
          <w:sz w:val="24"/>
          <w:szCs w:val="24"/>
        </w:rPr>
      </w:pPr>
      <w:r w:rsidRPr="00430B58">
        <w:rPr>
          <w:rFonts w:ascii="Times New Roman" w:hAnsi="Times New Roman"/>
          <w:color w:val="000000"/>
          <w:sz w:val="24"/>
          <w:szCs w:val="24"/>
        </w:rPr>
        <w:t xml:space="preserve">Através dos dados censitários verificou-se com </w:t>
      </w:r>
      <w:r w:rsidR="00887294">
        <w:rPr>
          <w:rFonts w:ascii="Times New Roman" w:hAnsi="Times New Roman"/>
          <w:color w:val="000000"/>
          <w:sz w:val="24"/>
          <w:szCs w:val="24"/>
        </w:rPr>
        <w:t>o estado tem</w:t>
      </w:r>
      <w:r w:rsidR="00430B58" w:rsidRPr="00430B58">
        <w:rPr>
          <w:rFonts w:ascii="Times New Roman" w:hAnsi="Times New Roman"/>
          <w:color w:val="000000"/>
          <w:sz w:val="24"/>
          <w:szCs w:val="24"/>
        </w:rPr>
        <w:t xml:space="preserve"> elevado a concentração fundiária</w:t>
      </w:r>
      <w:r w:rsidR="002F6979">
        <w:rPr>
          <w:rFonts w:ascii="Times New Roman" w:hAnsi="Times New Roman"/>
          <w:color w:val="000000"/>
          <w:sz w:val="24"/>
          <w:szCs w:val="24"/>
        </w:rPr>
        <w:t>,</w:t>
      </w:r>
      <w:r w:rsidR="00430B58" w:rsidRPr="00430B58">
        <w:rPr>
          <w:rFonts w:ascii="Times New Roman" w:hAnsi="Times New Roman"/>
          <w:color w:val="000000"/>
          <w:sz w:val="24"/>
          <w:szCs w:val="24"/>
        </w:rPr>
        <w:t xml:space="preserve"> </w:t>
      </w:r>
      <w:r w:rsidR="00887294">
        <w:rPr>
          <w:rFonts w:ascii="Times New Roman" w:hAnsi="Times New Roman"/>
          <w:color w:val="000000"/>
          <w:sz w:val="24"/>
          <w:szCs w:val="24"/>
        </w:rPr>
        <w:t xml:space="preserve">com </w:t>
      </w:r>
      <w:r w:rsidR="002F6979">
        <w:rPr>
          <w:rFonts w:ascii="Times New Roman" w:hAnsi="Times New Roman"/>
          <w:color w:val="000000"/>
          <w:sz w:val="24"/>
          <w:szCs w:val="24"/>
        </w:rPr>
        <w:t xml:space="preserve">impacto </w:t>
      </w:r>
      <w:r w:rsidR="00887294">
        <w:rPr>
          <w:rFonts w:ascii="Times New Roman" w:hAnsi="Times New Roman"/>
          <w:color w:val="000000"/>
          <w:sz w:val="24"/>
          <w:szCs w:val="24"/>
        </w:rPr>
        <w:t xml:space="preserve">sobre o preço da terra, que se valoriza a índices próximos ou superiores ao nacional. </w:t>
      </w:r>
      <w:r w:rsidR="002F6979">
        <w:rPr>
          <w:rFonts w:ascii="Times New Roman" w:hAnsi="Times New Roman"/>
          <w:color w:val="000000"/>
          <w:sz w:val="24"/>
          <w:szCs w:val="24"/>
        </w:rPr>
        <w:t>Nesse sentido, o</w:t>
      </w:r>
      <w:r w:rsidR="00887294">
        <w:rPr>
          <w:rFonts w:ascii="Times New Roman" w:hAnsi="Times New Roman"/>
          <w:color w:val="000000"/>
          <w:sz w:val="24"/>
          <w:szCs w:val="24"/>
        </w:rPr>
        <w:t xml:space="preserve"> acesso </w:t>
      </w:r>
      <w:r w:rsidR="002F6979">
        <w:rPr>
          <w:rFonts w:ascii="Times New Roman" w:hAnsi="Times New Roman"/>
          <w:color w:val="000000"/>
          <w:sz w:val="24"/>
          <w:szCs w:val="24"/>
        </w:rPr>
        <w:t xml:space="preserve">à terra tem se tornado </w:t>
      </w:r>
      <w:r w:rsidR="00887294">
        <w:rPr>
          <w:rFonts w:ascii="Times New Roman" w:hAnsi="Times New Roman"/>
          <w:color w:val="000000"/>
          <w:sz w:val="24"/>
          <w:szCs w:val="24"/>
        </w:rPr>
        <w:t>impeditivo para uma parcela significativa de produtores. Para os grupos de menores áreas que tiveram seu acesso à terra possibilitado pelas políticas de assentamentos rurais no início do século, essa também já não se desenha como uma política forte nos tempos atuais.</w:t>
      </w:r>
    </w:p>
    <w:p w14:paraId="671F9845" w14:textId="77777777" w:rsidR="002F6979" w:rsidRDefault="00887294" w:rsidP="00744DA8">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Por sua vez, quando se especializa o setor </w:t>
      </w:r>
      <w:r w:rsidR="002F6979">
        <w:rPr>
          <w:rFonts w:ascii="Times New Roman" w:hAnsi="Times New Roman"/>
          <w:color w:val="000000"/>
          <w:sz w:val="24"/>
          <w:szCs w:val="24"/>
        </w:rPr>
        <w:t xml:space="preserve">agropecuário o </w:t>
      </w:r>
      <w:r>
        <w:rPr>
          <w:rFonts w:ascii="Times New Roman" w:hAnsi="Times New Roman"/>
          <w:color w:val="000000"/>
          <w:sz w:val="24"/>
          <w:szCs w:val="24"/>
        </w:rPr>
        <w:t xml:space="preserve">faz </w:t>
      </w:r>
      <w:r w:rsidR="00744DA8">
        <w:rPr>
          <w:rFonts w:ascii="Times New Roman" w:hAnsi="Times New Roman"/>
          <w:color w:val="000000"/>
          <w:sz w:val="24"/>
          <w:szCs w:val="24"/>
        </w:rPr>
        <w:t xml:space="preserve">seguindo o padrão de produção das principais </w:t>
      </w:r>
      <w:r w:rsidR="00744DA8" w:rsidRPr="00744DA8">
        <w:rPr>
          <w:rFonts w:ascii="Times New Roman" w:hAnsi="Times New Roman"/>
          <w:i/>
          <w:color w:val="000000"/>
          <w:sz w:val="24"/>
          <w:szCs w:val="24"/>
        </w:rPr>
        <w:t>commodities</w:t>
      </w:r>
      <w:r w:rsidR="00744DA8">
        <w:rPr>
          <w:rFonts w:ascii="Times New Roman" w:hAnsi="Times New Roman"/>
          <w:color w:val="000000"/>
          <w:sz w:val="24"/>
          <w:szCs w:val="24"/>
        </w:rPr>
        <w:t xml:space="preserve"> agrícolas. Entre os aspectos positivos ressalta-se o aumento do emprego permanente, demonstrando a necessidade de qualificação dos trabalhadores, a partir desse padrão tecnológico. Porém</w:t>
      </w:r>
      <w:r w:rsidR="002F6979">
        <w:rPr>
          <w:rFonts w:ascii="Times New Roman" w:hAnsi="Times New Roman"/>
          <w:color w:val="000000"/>
          <w:sz w:val="24"/>
          <w:szCs w:val="24"/>
        </w:rPr>
        <w:t>, outra</w:t>
      </w:r>
      <w:r w:rsidR="00744DA8">
        <w:rPr>
          <w:rFonts w:ascii="Times New Roman" w:hAnsi="Times New Roman"/>
          <w:color w:val="000000"/>
          <w:sz w:val="24"/>
          <w:szCs w:val="24"/>
        </w:rPr>
        <w:t xml:space="preserve"> grande questão relaciona-se aos</w:t>
      </w:r>
      <w:r w:rsidR="000D031D">
        <w:rPr>
          <w:rFonts w:ascii="Times New Roman" w:hAnsi="Times New Roman"/>
          <w:sz w:val="24"/>
          <w:szCs w:val="24"/>
        </w:rPr>
        <w:t xml:space="preserve"> impactos ambientais negativos. </w:t>
      </w:r>
      <w:r w:rsidR="00744DA8">
        <w:rPr>
          <w:rFonts w:ascii="Times New Roman" w:hAnsi="Times New Roman"/>
          <w:sz w:val="24"/>
          <w:szCs w:val="24"/>
        </w:rPr>
        <w:t xml:space="preserve">Apesar de se ter </w:t>
      </w:r>
      <w:r w:rsidR="000D031D">
        <w:rPr>
          <w:rFonts w:ascii="Times New Roman" w:hAnsi="Times New Roman"/>
          <w:sz w:val="24"/>
          <w:szCs w:val="24"/>
        </w:rPr>
        <w:t>claro que as exportações dos bens podem ser atingidas, se cuidados ambientais forem ignorados ou desrespeitados</w:t>
      </w:r>
      <w:r w:rsidR="002F6979">
        <w:rPr>
          <w:rFonts w:ascii="Times New Roman" w:hAnsi="Times New Roman"/>
          <w:sz w:val="24"/>
          <w:szCs w:val="24"/>
        </w:rPr>
        <w:t xml:space="preserve">, o aumento de estabelecimentos que utilizam </w:t>
      </w:r>
      <w:r w:rsidR="00744DA8">
        <w:rPr>
          <w:rFonts w:ascii="Times New Roman" w:hAnsi="Times New Roman"/>
          <w:sz w:val="24"/>
          <w:szCs w:val="24"/>
        </w:rPr>
        <w:t>agrotóxicos</w:t>
      </w:r>
      <w:r w:rsidR="002F6979">
        <w:rPr>
          <w:rFonts w:ascii="Times New Roman" w:hAnsi="Times New Roman"/>
          <w:sz w:val="24"/>
          <w:szCs w:val="24"/>
        </w:rPr>
        <w:t>,</w:t>
      </w:r>
      <w:r w:rsidR="00744DA8">
        <w:rPr>
          <w:rFonts w:ascii="Times New Roman" w:hAnsi="Times New Roman"/>
          <w:sz w:val="24"/>
          <w:szCs w:val="24"/>
        </w:rPr>
        <w:t xml:space="preserve"> superiores </w:t>
      </w:r>
      <w:r w:rsidR="002F6979">
        <w:rPr>
          <w:rFonts w:ascii="Times New Roman" w:hAnsi="Times New Roman"/>
          <w:sz w:val="24"/>
          <w:szCs w:val="24"/>
        </w:rPr>
        <w:t xml:space="preserve">à média nacional, também </w:t>
      </w:r>
      <w:r w:rsidR="00744DA8">
        <w:rPr>
          <w:rFonts w:ascii="Times New Roman" w:hAnsi="Times New Roman"/>
          <w:sz w:val="24"/>
          <w:szCs w:val="24"/>
        </w:rPr>
        <w:t xml:space="preserve">está relacionada </w:t>
      </w:r>
      <w:r w:rsidR="002F6979">
        <w:rPr>
          <w:rFonts w:ascii="Times New Roman" w:hAnsi="Times New Roman"/>
          <w:sz w:val="24"/>
          <w:szCs w:val="24"/>
        </w:rPr>
        <w:t xml:space="preserve">a esse </w:t>
      </w:r>
      <w:r w:rsidR="00744DA8">
        <w:rPr>
          <w:rFonts w:ascii="Times New Roman" w:hAnsi="Times New Roman"/>
          <w:sz w:val="24"/>
          <w:szCs w:val="24"/>
        </w:rPr>
        <w:t>modelo de produção</w:t>
      </w:r>
      <w:r w:rsidR="000D031D">
        <w:rPr>
          <w:rFonts w:ascii="Times New Roman" w:hAnsi="Times New Roman"/>
          <w:sz w:val="24"/>
          <w:szCs w:val="24"/>
        </w:rPr>
        <w:t>.</w:t>
      </w:r>
    </w:p>
    <w:p w14:paraId="42216F93" w14:textId="77777777" w:rsidR="000D031D" w:rsidRPr="00B212F5" w:rsidRDefault="00744DA8" w:rsidP="00744DA8">
      <w:pPr>
        <w:spacing w:after="0" w:line="240" w:lineRule="auto"/>
        <w:ind w:firstLine="709"/>
        <w:jc w:val="both"/>
        <w:rPr>
          <w:rFonts w:ascii="Times New Roman" w:hAnsi="Times New Roman"/>
          <w:sz w:val="24"/>
          <w:szCs w:val="24"/>
        </w:rPr>
      </w:pPr>
      <w:r>
        <w:rPr>
          <w:rFonts w:ascii="Times New Roman" w:hAnsi="Times New Roman"/>
          <w:sz w:val="24"/>
          <w:szCs w:val="24"/>
        </w:rPr>
        <w:t>Assim</w:t>
      </w:r>
      <w:r w:rsidR="000D031D">
        <w:rPr>
          <w:rFonts w:ascii="Times New Roman" w:hAnsi="Times New Roman"/>
          <w:sz w:val="24"/>
          <w:szCs w:val="24"/>
        </w:rPr>
        <w:t>, tanto a área do Cerrado como a da floresta amazônica foram ou vêm sendo intensamente afetadas pelo avanço das produções agropecuárias nas áreas incorporadas, seja a decorrente da pecuária extensiva, seja a da enorme expansão da área de grãos. Os impactos negativos disso são atualmente mais visíveis e confirmados, especialmente, quanto aos regimes de chuvas, qualidade e disponibilidade de águas (tanto superficiais, como subterrâneas), qualidade do ar (devido às queimadas), além dos perigos associados ao (exagerado) uso de agrotóxicos, seja para as espécies animais (com diminuição da biodiversidade), seja para a saúde humana.</w:t>
      </w:r>
    </w:p>
    <w:p w14:paraId="17C23272" w14:textId="77777777" w:rsidR="000D031D" w:rsidRDefault="00744DA8" w:rsidP="002F6979">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Outra ideia subjacente</w:t>
      </w:r>
      <w:r w:rsidR="002F6979">
        <w:rPr>
          <w:rFonts w:ascii="Times New Roman" w:hAnsi="Times New Roman"/>
          <w:color w:val="000000"/>
          <w:sz w:val="24"/>
          <w:szCs w:val="24"/>
        </w:rPr>
        <w:t>,</w:t>
      </w:r>
      <w:r>
        <w:rPr>
          <w:rFonts w:ascii="Times New Roman" w:hAnsi="Times New Roman"/>
          <w:color w:val="000000"/>
          <w:sz w:val="24"/>
          <w:szCs w:val="24"/>
        </w:rPr>
        <w:t xml:space="preserve"> e </w:t>
      </w:r>
      <w:r w:rsidR="002F6979">
        <w:rPr>
          <w:rFonts w:ascii="Times New Roman" w:hAnsi="Times New Roman"/>
          <w:color w:val="000000"/>
          <w:sz w:val="24"/>
          <w:szCs w:val="24"/>
        </w:rPr>
        <w:t>mais</w:t>
      </w:r>
      <w:r>
        <w:rPr>
          <w:rFonts w:ascii="Times New Roman" w:hAnsi="Times New Roman"/>
          <w:color w:val="000000"/>
          <w:sz w:val="24"/>
          <w:szCs w:val="24"/>
        </w:rPr>
        <w:t xml:space="preserve"> amplamente discutido por outros autores</w:t>
      </w:r>
      <w:r w:rsidR="002F6979">
        <w:rPr>
          <w:rFonts w:ascii="Times New Roman" w:hAnsi="Times New Roman"/>
          <w:color w:val="000000"/>
          <w:sz w:val="24"/>
          <w:szCs w:val="24"/>
        </w:rPr>
        <w:t>,</w:t>
      </w:r>
      <w:r>
        <w:rPr>
          <w:rFonts w:ascii="Times New Roman" w:hAnsi="Times New Roman"/>
          <w:color w:val="000000"/>
          <w:sz w:val="24"/>
          <w:szCs w:val="24"/>
        </w:rPr>
        <w:t xml:space="preserve"> são as limitações “modelo” econômico aqui adotado</w:t>
      </w:r>
      <w:r w:rsidR="002F6979">
        <w:rPr>
          <w:rFonts w:ascii="Times New Roman" w:hAnsi="Times New Roman"/>
          <w:color w:val="000000"/>
          <w:sz w:val="24"/>
          <w:szCs w:val="24"/>
        </w:rPr>
        <w:t xml:space="preserve"> para o desenvolvimento, uma vez que, esse além de </w:t>
      </w:r>
      <w:r w:rsidR="000D031D">
        <w:rPr>
          <w:rFonts w:ascii="Times New Roman" w:hAnsi="Times New Roman"/>
          <w:color w:val="000000"/>
          <w:sz w:val="24"/>
          <w:szCs w:val="24"/>
        </w:rPr>
        <w:t>envolve</w:t>
      </w:r>
      <w:r w:rsidR="002F6979">
        <w:rPr>
          <w:rFonts w:ascii="Times New Roman" w:hAnsi="Times New Roman"/>
          <w:color w:val="000000"/>
          <w:sz w:val="24"/>
          <w:szCs w:val="24"/>
        </w:rPr>
        <w:t>r</w:t>
      </w:r>
      <w:r w:rsidR="000D031D">
        <w:rPr>
          <w:rFonts w:ascii="Times New Roman" w:hAnsi="Times New Roman"/>
          <w:color w:val="000000"/>
          <w:sz w:val="24"/>
          <w:szCs w:val="24"/>
        </w:rPr>
        <w:t xml:space="preserve"> acumulação de capital e progresso técnico, </w:t>
      </w:r>
      <w:r w:rsidR="002F6979">
        <w:rPr>
          <w:rFonts w:ascii="Times New Roman" w:hAnsi="Times New Roman"/>
          <w:color w:val="000000"/>
          <w:sz w:val="24"/>
          <w:szCs w:val="24"/>
        </w:rPr>
        <w:t>requer</w:t>
      </w:r>
      <w:r w:rsidR="000D031D">
        <w:rPr>
          <w:rFonts w:ascii="Times New Roman" w:hAnsi="Times New Roman"/>
          <w:color w:val="000000"/>
          <w:sz w:val="24"/>
          <w:szCs w:val="24"/>
        </w:rPr>
        <w:t xml:space="preserve"> uma redistribuição (geralmente, a cargo da ação estatal) das riquezas e rendas geradas pelos ganhos de produtividade e de ex</w:t>
      </w:r>
      <w:r w:rsidR="002F6979">
        <w:rPr>
          <w:rFonts w:ascii="Times New Roman" w:hAnsi="Times New Roman"/>
          <w:color w:val="000000"/>
          <w:sz w:val="24"/>
          <w:szCs w:val="24"/>
        </w:rPr>
        <w:t>pansão de mercados específicos, que neste contexto pode não ocorre a partir do setor agropecuário.</w:t>
      </w:r>
    </w:p>
    <w:p w14:paraId="1016034D" w14:textId="77777777" w:rsidR="000D031D" w:rsidRPr="0088141F" w:rsidRDefault="000D031D" w:rsidP="002F6979">
      <w:pPr>
        <w:tabs>
          <w:tab w:val="left" w:pos="3660"/>
        </w:tabs>
        <w:spacing w:after="0" w:line="240" w:lineRule="auto"/>
        <w:rPr>
          <w:rFonts w:ascii="Times New Roman" w:eastAsia="Times New Roman" w:hAnsi="Times New Roman" w:cs="Times New Roman"/>
          <w:sz w:val="24"/>
          <w:szCs w:val="24"/>
        </w:rPr>
      </w:pPr>
    </w:p>
    <w:p w14:paraId="37896A2E" w14:textId="77777777" w:rsidR="00201D02" w:rsidRDefault="00454339" w:rsidP="002F6979">
      <w:pPr>
        <w:tabs>
          <w:tab w:val="left" w:pos="36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00201D02" w:rsidRPr="000D031D">
        <w:rPr>
          <w:rFonts w:ascii="Times New Roman" w:eastAsia="Times New Roman" w:hAnsi="Times New Roman" w:cs="Times New Roman"/>
          <w:b/>
          <w:sz w:val="24"/>
          <w:szCs w:val="24"/>
        </w:rPr>
        <w:t>Refer</w:t>
      </w:r>
      <w:r w:rsidR="000D031D">
        <w:rPr>
          <w:rFonts w:ascii="Times New Roman" w:eastAsia="Times New Roman" w:hAnsi="Times New Roman" w:cs="Times New Roman"/>
          <w:b/>
          <w:sz w:val="24"/>
          <w:szCs w:val="24"/>
        </w:rPr>
        <w:t>ê</w:t>
      </w:r>
      <w:r w:rsidR="00201D02" w:rsidRPr="000D031D">
        <w:rPr>
          <w:rFonts w:ascii="Times New Roman" w:eastAsia="Times New Roman" w:hAnsi="Times New Roman" w:cs="Times New Roman"/>
          <w:b/>
          <w:sz w:val="24"/>
          <w:szCs w:val="24"/>
        </w:rPr>
        <w:t>ncias</w:t>
      </w:r>
    </w:p>
    <w:p w14:paraId="2DBB2BF2" w14:textId="77777777" w:rsidR="000D031D" w:rsidRPr="000D031D" w:rsidRDefault="000D031D" w:rsidP="002F6979">
      <w:pPr>
        <w:tabs>
          <w:tab w:val="left" w:pos="3660"/>
        </w:tabs>
        <w:spacing w:after="0" w:line="240" w:lineRule="auto"/>
        <w:rPr>
          <w:rFonts w:ascii="Times New Roman" w:eastAsia="Times New Roman" w:hAnsi="Times New Roman" w:cs="Times New Roman"/>
          <w:b/>
          <w:sz w:val="24"/>
          <w:szCs w:val="24"/>
        </w:rPr>
      </w:pPr>
    </w:p>
    <w:p w14:paraId="0091B677" w14:textId="2D735660"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ARAÚJO, Tânia Bacelar de. Por Uma Política Nacional de Desenvolvimento Regional. </w:t>
      </w:r>
      <w:r w:rsidRPr="0003097C">
        <w:rPr>
          <w:rFonts w:ascii="Times New Roman" w:hAnsi="Times New Roman" w:cs="Times New Roman"/>
          <w:b/>
          <w:sz w:val="24"/>
          <w:szCs w:val="24"/>
        </w:rPr>
        <w:t>Revista Econômica do Nordeste</w:t>
      </w:r>
      <w:r w:rsidRPr="0003097C">
        <w:rPr>
          <w:rFonts w:ascii="Times New Roman" w:hAnsi="Times New Roman" w:cs="Times New Roman"/>
          <w:sz w:val="24"/>
          <w:szCs w:val="24"/>
        </w:rPr>
        <w:t xml:space="preserve">, Fortaleza, v. 30, n. 2, p. 144-161, abr.-jun. 1999. Disponível em: </w:t>
      </w:r>
      <w:hyperlink r:id="rId13" w:history="1">
        <w:r w:rsidR="007E0253" w:rsidRPr="00A30A33">
          <w:rPr>
            <w:rStyle w:val="Hyperlink"/>
            <w:rFonts w:ascii="Times New Roman" w:hAnsi="Times New Roman" w:cs="Times New Roman"/>
            <w:sz w:val="24"/>
            <w:szCs w:val="24"/>
          </w:rPr>
          <w:t>https://www.bnb.gov.br/projwebren/Exec/artigoRenPDF.aspx? cd_artigo_ren=143</w:t>
        </w:r>
      </w:hyperlink>
      <w:r w:rsidRPr="0003097C">
        <w:rPr>
          <w:rFonts w:ascii="Times New Roman" w:hAnsi="Times New Roman" w:cs="Times New Roman"/>
          <w:sz w:val="24"/>
          <w:szCs w:val="24"/>
        </w:rPr>
        <w:t>. Acesso em 09 de setembro de 2018.</w:t>
      </w:r>
    </w:p>
    <w:p w14:paraId="711194A5"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AZEVEDO, Andréa Aguiar; SAITO, Carlos </w:t>
      </w:r>
      <w:proofErr w:type="spellStart"/>
      <w:r w:rsidRPr="0003097C">
        <w:rPr>
          <w:rFonts w:ascii="Times New Roman" w:hAnsi="Times New Roman" w:cs="Times New Roman"/>
          <w:sz w:val="24"/>
          <w:szCs w:val="24"/>
        </w:rPr>
        <w:t>Hiroo</w:t>
      </w:r>
      <w:proofErr w:type="spellEnd"/>
      <w:r w:rsidRPr="0003097C">
        <w:rPr>
          <w:rFonts w:ascii="Times New Roman" w:hAnsi="Times New Roman" w:cs="Times New Roman"/>
          <w:sz w:val="24"/>
          <w:szCs w:val="24"/>
        </w:rPr>
        <w:t xml:space="preserve">. O Perfil dos Desmatamentos em Mato Grosso, após Implementação do Licenciamento Ambiental em Propriedades Rurais. </w:t>
      </w:r>
      <w:r w:rsidRPr="0003097C">
        <w:rPr>
          <w:rFonts w:ascii="Times New Roman" w:hAnsi="Times New Roman" w:cs="Times New Roman"/>
          <w:b/>
          <w:sz w:val="24"/>
          <w:szCs w:val="24"/>
        </w:rPr>
        <w:t>CERNE</w:t>
      </w:r>
      <w:r w:rsidRPr="0003097C">
        <w:rPr>
          <w:rFonts w:ascii="Times New Roman" w:hAnsi="Times New Roman" w:cs="Times New Roman"/>
          <w:sz w:val="24"/>
          <w:szCs w:val="24"/>
        </w:rPr>
        <w:t xml:space="preserve">, vol. 19, núm. 1, </w:t>
      </w:r>
      <w:proofErr w:type="spellStart"/>
      <w:r w:rsidRPr="0003097C">
        <w:rPr>
          <w:rFonts w:ascii="Times New Roman" w:hAnsi="Times New Roman" w:cs="Times New Roman"/>
          <w:sz w:val="24"/>
          <w:szCs w:val="24"/>
        </w:rPr>
        <w:t>enero-marzo</w:t>
      </w:r>
      <w:proofErr w:type="spellEnd"/>
      <w:r w:rsidRPr="0003097C">
        <w:rPr>
          <w:rFonts w:ascii="Times New Roman" w:hAnsi="Times New Roman" w:cs="Times New Roman"/>
          <w:sz w:val="24"/>
          <w:szCs w:val="24"/>
        </w:rPr>
        <w:t>, 2013, pp. 111-122.</w:t>
      </w:r>
    </w:p>
    <w:p w14:paraId="4A807E98"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lastRenderedPageBreak/>
        <w:t xml:space="preserve">BOMBARDI, Larissa Mies. </w:t>
      </w:r>
      <w:r w:rsidRPr="0003097C">
        <w:rPr>
          <w:rFonts w:ascii="Times New Roman" w:hAnsi="Times New Roman" w:cs="Times New Roman"/>
          <w:b/>
          <w:sz w:val="24"/>
          <w:szCs w:val="24"/>
        </w:rPr>
        <w:t>Geografia do Uso de Agrotóxicos no Brasil e Conexões com a União Europeia</w:t>
      </w:r>
      <w:r w:rsidRPr="0003097C">
        <w:rPr>
          <w:rFonts w:ascii="Times New Roman" w:hAnsi="Times New Roman" w:cs="Times New Roman"/>
          <w:sz w:val="24"/>
          <w:szCs w:val="24"/>
        </w:rPr>
        <w:t>. São Paulo: FFLCH – USP, 2017. 296 p.</w:t>
      </w:r>
    </w:p>
    <w:p w14:paraId="21EF3F82" w14:textId="1E27CB40" w:rsidR="005A3A41" w:rsidRPr="005A3A41" w:rsidRDefault="005A3A41" w:rsidP="005A3A41">
      <w:pPr>
        <w:tabs>
          <w:tab w:val="left" w:pos="284"/>
          <w:tab w:val="left" w:pos="1290"/>
        </w:tabs>
        <w:rPr>
          <w:rFonts w:ascii="Times New Roman" w:hAnsi="Times New Roman" w:cs="Times New Roman"/>
          <w:sz w:val="24"/>
          <w:szCs w:val="24"/>
        </w:rPr>
      </w:pPr>
      <w:r w:rsidRPr="005A3A41">
        <w:rPr>
          <w:rFonts w:ascii="Times New Roman" w:hAnsi="Times New Roman" w:cs="Times New Roman"/>
          <w:bCs/>
          <w:sz w:val="24"/>
          <w:szCs w:val="24"/>
          <w:shd w:val="clear" w:color="auto" w:fill="FFFFFF"/>
        </w:rPr>
        <w:t xml:space="preserve">BNDES. </w:t>
      </w:r>
      <w:r w:rsidRPr="00742C43">
        <w:rPr>
          <w:rFonts w:ascii="Times New Roman" w:hAnsi="Times New Roman" w:cs="Times New Roman"/>
          <w:sz w:val="24"/>
          <w:szCs w:val="24"/>
          <w:shd w:val="clear" w:color="auto" w:fill="FFFFFF"/>
        </w:rPr>
        <w:t>Banco Nacional de Desenvolvimento.</w:t>
      </w:r>
      <w:r w:rsidRPr="005A3A41">
        <w:rPr>
          <w:rFonts w:ascii="Times New Roman" w:hAnsi="Times New Roman" w:cs="Times New Roman"/>
          <w:bCs/>
          <w:sz w:val="24"/>
          <w:szCs w:val="24"/>
          <w:shd w:val="clear" w:color="auto" w:fill="FFFFFF"/>
        </w:rPr>
        <w:t xml:space="preserve"> </w:t>
      </w:r>
      <w:r w:rsidR="00742C43" w:rsidRPr="00742C43">
        <w:rPr>
          <w:rFonts w:ascii="Times New Roman" w:hAnsi="Times New Roman" w:cs="Times New Roman"/>
          <w:b/>
          <w:sz w:val="24"/>
          <w:szCs w:val="24"/>
          <w:shd w:val="clear" w:color="auto" w:fill="FFFFFF"/>
        </w:rPr>
        <w:t xml:space="preserve">Desembolso </w:t>
      </w:r>
      <w:proofErr w:type="spellStart"/>
      <w:r w:rsidR="00742C43">
        <w:rPr>
          <w:rFonts w:ascii="Times New Roman" w:hAnsi="Times New Roman" w:cs="Times New Roman"/>
          <w:b/>
          <w:sz w:val="24"/>
          <w:szCs w:val="24"/>
          <w:shd w:val="clear" w:color="auto" w:fill="FFFFFF"/>
        </w:rPr>
        <w:t>Moderfrota</w:t>
      </w:r>
      <w:proofErr w:type="spellEnd"/>
      <w:r w:rsidR="00742C43">
        <w:rPr>
          <w:rFonts w:ascii="Times New Roman" w:hAnsi="Times New Roman" w:cs="Times New Roman"/>
          <w:bCs/>
          <w:sz w:val="24"/>
          <w:szCs w:val="24"/>
          <w:shd w:val="clear" w:color="auto" w:fill="FFFFFF"/>
        </w:rPr>
        <w:t xml:space="preserve">. </w:t>
      </w:r>
      <w:r w:rsidRPr="005A3A41">
        <w:rPr>
          <w:rFonts w:ascii="Times New Roman" w:hAnsi="Times New Roman" w:cs="Times New Roman"/>
          <w:bCs/>
          <w:sz w:val="24"/>
          <w:szCs w:val="24"/>
          <w:shd w:val="clear" w:color="auto" w:fill="FFFFFF"/>
        </w:rPr>
        <w:t>Disponível em: &lt;</w:t>
      </w:r>
      <w:r w:rsidRPr="005A3A41">
        <w:rPr>
          <w:rFonts w:ascii="Times New Roman" w:hAnsi="Times New Roman" w:cs="Times New Roman"/>
          <w:sz w:val="24"/>
          <w:szCs w:val="24"/>
        </w:rPr>
        <w:t>https://www.bndes.gov.br/wps/portal/site/home/financiamento/ produto/MODERFROTA&gt;.</w:t>
      </w:r>
      <w:r>
        <w:rPr>
          <w:rFonts w:ascii="Times New Roman" w:hAnsi="Times New Roman" w:cs="Times New Roman"/>
          <w:sz w:val="24"/>
          <w:szCs w:val="24"/>
        </w:rPr>
        <w:t xml:space="preserve"> </w:t>
      </w:r>
      <w:r w:rsidRPr="005A3A41">
        <w:rPr>
          <w:rFonts w:ascii="Times New Roman" w:hAnsi="Times New Roman" w:cs="Times New Roman"/>
          <w:bCs/>
          <w:sz w:val="24"/>
          <w:szCs w:val="24"/>
          <w:shd w:val="clear" w:color="auto" w:fill="FFFFFF"/>
        </w:rPr>
        <w:t xml:space="preserve"> Acessado em: 03 de janeiro de 2020.</w:t>
      </w:r>
    </w:p>
    <w:p w14:paraId="3E856DF4" w14:textId="77777777" w:rsidR="0003097C" w:rsidRPr="0003097C" w:rsidRDefault="0003097C" w:rsidP="0003097C">
      <w:pPr>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BRASIL. Presidência da República. </w:t>
      </w:r>
      <w:hyperlink r:id="rId14" w:anchor="_blank" w:tgtFrame="_blank" w:history="1">
        <w:r w:rsidRPr="0003097C">
          <w:rPr>
            <w:rFonts w:ascii="Times New Roman" w:hAnsi="Times New Roman" w:cs="Times New Roman"/>
            <w:b/>
            <w:sz w:val="24"/>
            <w:szCs w:val="24"/>
          </w:rPr>
          <w:t>Decreto nº 4.074</w:t>
        </w:r>
        <w:r w:rsidRPr="0003097C">
          <w:rPr>
            <w:rFonts w:ascii="Times New Roman" w:hAnsi="Times New Roman" w:cs="Times New Roman"/>
            <w:sz w:val="24"/>
            <w:szCs w:val="24"/>
          </w:rPr>
          <w:t xml:space="preserve">, de </w:t>
        </w:r>
      </w:hyperlink>
      <w:r w:rsidRPr="0003097C">
        <w:rPr>
          <w:rFonts w:ascii="Times New Roman" w:hAnsi="Times New Roman" w:cs="Times New Roman"/>
          <w:sz w:val="24"/>
          <w:szCs w:val="24"/>
        </w:rPr>
        <w:t>4 de janeiro de 2002. Brasília:2002. Disponível em: www.planalto.gov.br&gt;. Acesso em: set. 2018.</w:t>
      </w:r>
    </w:p>
    <w:p w14:paraId="1FD7F03A" w14:textId="77777777" w:rsidR="0003097C" w:rsidRPr="0003097C" w:rsidRDefault="0003097C" w:rsidP="0003097C">
      <w:pPr>
        <w:spacing w:before="120" w:after="120" w:line="240" w:lineRule="auto"/>
        <w:rPr>
          <w:rFonts w:ascii="Times New Roman" w:hAnsi="Times New Roman" w:cs="Times New Roman"/>
          <w:sz w:val="24"/>
          <w:szCs w:val="24"/>
          <w:shd w:val="clear" w:color="auto" w:fill="FFFFFF"/>
        </w:rPr>
      </w:pPr>
      <w:r w:rsidRPr="0003097C">
        <w:rPr>
          <w:rFonts w:ascii="Times New Roman" w:hAnsi="Times New Roman" w:cs="Times New Roman"/>
          <w:sz w:val="24"/>
          <w:szCs w:val="24"/>
          <w:shd w:val="clear" w:color="auto" w:fill="FFFFFF"/>
        </w:rPr>
        <w:t xml:space="preserve">BRASILAGRO. </w:t>
      </w:r>
      <w:r w:rsidRPr="0003097C">
        <w:rPr>
          <w:rFonts w:ascii="Times New Roman" w:hAnsi="Times New Roman" w:cs="Times New Roman"/>
          <w:b/>
          <w:sz w:val="24"/>
          <w:szCs w:val="24"/>
          <w:shd w:val="clear" w:color="auto" w:fill="FFFFFF"/>
        </w:rPr>
        <w:t>Apresentação Institucional</w:t>
      </w:r>
      <w:r w:rsidRPr="0003097C">
        <w:rPr>
          <w:rFonts w:ascii="Times New Roman" w:hAnsi="Times New Roman" w:cs="Times New Roman"/>
          <w:sz w:val="24"/>
          <w:szCs w:val="24"/>
          <w:shd w:val="clear" w:color="auto" w:fill="FFFFFF"/>
        </w:rPr>
        <w:t>. 2017. Disponível em:&lt;</w:t>
      </w:r>
      <w:r w:rsidRPr="0003097C">
        <w:rPr>
          <w:rFonts w:ascii="Times New Roman" w:hAnsi="Times New Roman" w:cs="Times New Roman"/>
          <w:sz w:val="24"/>
          <w:szCs w:val="24"/>
        </w:rPr>
        <w:t xml:space="preserve"> </w:t>
      </w:r>
      <w:r w:rsidRPr="0003097C">
        <w:rPr>
          <w:rFonts w:ascii="Times New Roman" w:hAnsi="Times New Roman" w:cs="Times New Roman"/>
          <w:sz w:val="24"/>
          <w:szCs w:val="24"/>
          <w:shd w:val="clear" w:color="auto" w:fill="FFFFFF"/>
        </w:rPr>
        <w:t>http://www.brasil-agro.com&gt;. Acesso dez. 2017.</w:t>
      </w:r>
    </w:p>
    <w:p w14:paraId="3A279898" w14:textId="77777777" w:rsidR="0003097C" w:rsidRPr="0003097C" w:rsidRDefault="0003097C" w:rsidP="0003097C">
      <w:pPr>
        <w:tabs>
          <w:tab w:val="left" w:pos="3660"/>
        </w:tabs>
        <w:spacing w:before="120" w:after="120" w:line="240" w:lineRule="auto"/>
        <w:rPr>
          <w:rFonts w:ascii="Times New Roman" w:eastAsia="Times New Roman" w:hAnsi="Times New Roman" w:cs="Times New Roman"/>
          <w:sz w:val="24"/>
          <w:szCs w:val="24"/>
        </w:rPr>
      </w:pPr>
      <w:r w:rsidRPr="0003097C">
        <w:rPr>
          <w:rFonts w:ascii="Times New Roman" w:hAnsi="Times New Roman" w:cs="Times New Roman"/>
          <w:color w:val="000000"/>
          <w:sz w:val="24"/>
          <w:szCs w:val="24"/>
          <w:shd w:val="clear" w:color="auto" w:fill="FFFFFF"/>
          <w:lang w:val="uz-Latn-UZ"/>
        </w:rPr>
        <w:t xml:space="preserve">BUAINAIN, A. M., Alves, E., Silveira, J. M. d. &amp; Navarro, Z., 2013. Sete teses sobre o mundo rural brasileiro. </w:t>
      </w:r>
      <w:r w:rsidRPr="0003097C">
        <w:rPr>
          <w:rStyle w:val="nfase"/>
          <w:rFonts w:ascii="Times New Roman" w:hAnsi="Times New Roman" w:cs="Times New Roman"/>
          <w:b/>
          <w:i w:val="0"/>
          <w:color w:val="000000"/>
          <w:sz w:val="24"/>
          <w:szCs w:val="24"/>
          <w:shd w:val="clear" w:color="auto" w:fill="FFFFFF"/>
          <w:lang w:val="uz-Latn-UZ"/>
        </w:rPr>
        <w:t>Revista de Política Agrícola</w:t>
      </w:r>
      <w:r w:rsidRPr="0003097C">
        <w:rPr>
          <w:rStyle w:val="nfase"/>
          <w:rFonts w:ascii="Times New Roman" w:hAnsi="Times New Roman" w:cs="Times New Roman"/>
          <w:color w:val="000000"/>
          <w:sz w:val="24"/>
          <w:szCs w:val="24"/>
          <w:shd w:val="clear" w:color="auto" w:fill="FFFFFF"/>
          <w:lang w:val="uz-Latn-UZ"/>
        </w:rPr>
        <w:t>, </w:t>
      </w:r>
      <w:r w:rsidRPr="0003097C">
        <w:rPr>
          <w:rFonts w:ascii="Times New Roman" w:hAnsi="Times New Roman" w:cs="Times New Roman"/>
          <w:color w:val="000000"/>
          <w:sz w:val="24"/>
          <w:szCs w:val="24"/>
          <w:shd w:val="clear" w:color="auto" w:fill="FFFFFF"/>
          <w:lang w:val="uz-Latn-UZ"/>
        </w:rPr>
        <w:t>22(2), pp. 105-121.</w:t>
      </w:r>
    </w:p>
    <w:p w14:paraId="1C15C98D" w14:textId="77777777" w:rsidR="0003097C" w:rsidRPr="0003097C" w:rsidRDefault="0003097C" w:rsidP="0003097C">
      <w:pPr>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shd w:val="clear" w:color="auto" w:fill="FFFFFF"/>
        </w:rPr>
        <w:t>CANO, Wilson</w:t>
      </w:r>
      <w:r w:rsidRPr="0003097C">
        <w:rPr>
          <w:rFonts w:ascii="Times New Roman" w:hAnsi="Times New Roman" w:cs="Times New Roman"/>
          <w:sz w:val="24"/>
          <w:szCs w:val="24"/>
        </w:rPr>
        <w:t xml:space="preserve">. Novas determinações sobre as questões regional e urbana após 1980. </w:t>
      </w:r>
      <w:r w:rsidRPr="0003097C">
        <w:rPr>
          <w:rFonts w:ascii="Times New Roman" w:hAnsi="Times New Roman" w:cs="Times New Roman"/>
          <w:b/>
          <w:sz w:val="24"/>
          <w:szCs w:val="24"/>
        </w:rPr>
        <w:t>Texto para Discussão</w:t>
      </w:r>
      <w:r w:rsidRPr="0003097C">
        <w:rPr>
          <w:rFonts w:ascii="Times New Roman" w:hAnsi="Times New Roman" w:cs="Times New Roman"/>
          <w:sz w:val="24"/>
          <w:szCs w:val="24"/>
        </w:rPr>
        <w:t xml:space="preserve">, 193. Campinas: Instituto de Economia, 2011. </w:t>
      </w:r>
    </w:p>
    <w:p w14:paraId="0AE1E0E5"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CARNEIRO, F.F.; PIGNATI, W.; RIGOTTO, R. M.; et. al. </w:t>
      </w:r>
      <w:r w:rsidRPr="0003097C">
        <w:rPr>
          <w:rFonts w:ascii="Times New Roman" w:hAnsi="Times New Roman" w:cs="Times New Roman"/>
          <w:b/>
          <w:sz w:val="24"/>
          <w:szCs w:val="24"/>
        </w:rPr>
        <w:t>Dossiê ABRASCO</w:t>
      </w:r>
      <w:r w:rsidRPr="0003097C">
        <w:rPr>
          <w:rFonts w:ascii="Times New Roman" w:hAnsi="Times New Roman" w:cs="Times New Roman"/>
          <w:sz w:val="24"/>
          <w:szCs w:val="24"/>
        </w:rPr>
        <w:t>: Um alerta sobre os impactos dos agrotóxicos na saúde - Parte 1: Agrotóxicos, Segurança Alimentar e Nutricional e Saúde. Rio de Janeiro: ABRASCO, 2012. 88 p.</w:t>
      </w:r>
    </w:p>
    <w:p w14:paraId="167D6D49" w14:textId="77777777" w:rsidR="0003097C" w:rsidRPr="0003097C" w:rsidRDefault="0003097C" w:rsidP="0003097C">
      <w:pPr>
        <w:spacing w:before="120" w:after="120" w:line="240" w:lineRule="auto"/>
        <w:jc w:val="both"/>
        <w:rPr>
          <w:rFonts w:ascii="Times New Roman" w:hAnsi="Times New Roman" w:cs="Times New Roman"/>
          <w:sz w:val="24"/>
          <w:szCs w:val="24"/>
        </w:rPr>
      </w:pPr>
      <w:r w:rsidRPr="0003097C">
        <w:rPr>
          <w:rFonts w:ascii="Times New Roman" w:hAnsi="Times New Roman" w:cs="Times New Roman"/>
          <w:sz w:val="24"/>
          <w:szCs w:val="24"/>
        </w:rPr>
        <w:t xml:space="preserve">CASTRO, Fábio de. Agronegócio no Cerrado afeta chuvas. </w:t>
      </w:r>
      <w:r w:rsidRPr="0003097C">
        <w:rPr>
          <w:rFonts w:ascii="Times New Roman" w:hAnsi="Times New Roman" w:cs="Times New Roman"/>
          <w:b/>
          <w:sz w:val="24"/>
          <w:szCs w:val="24"/>
        </w:rPr>
        <w:t>O Estado de S. Paulo</w:t>
      </w:r>
      <w:r w:rsidRPr="0003097C">
        <w:rPr>
          <w:rFonts w:ascii="Times New Roman" w:hAnsi="Times New Roman" w:cs="Times New Roman"/>
          <w:sz w:val="24"/>
          <w:szCs w:val="24"/>
        </w:rPr>
        <w:t>, edição de 3 de abril de 2016, p. A21.</w:t>
      </w:r>
    </w:p>
    <w:p w14:paraId="68DA56F5" w14:textId="77777777" w:rsidR="006A1C4F" w:rsidRPr="0003097C" w:rsidRDefault="006A1C4F" w:rsidP="006A1C4F">
      <w:pPr>
        <w:spacing w:before="120" w:after="120" w:line="240" w:lineRule="auto"/>
        <w:rPr>
          <w:rFonts w:ascii="Times New Roman" w:hAnsi="Times New Roman" w:cs="Times New Roman"/>
          <w:sz w:val="24"/>
          <w:szCs w:val="24"/>
          <w:shd w:val="clear" w:color="auto" w:fill="FFFFFF"/>
        </w:rPr>
      </w:pPr>
      <w:r w:rsidRPr="0003097C">
        <w:rPr>
          <w:rFonts w:ascii="Times New Roman" w:hAnsi="Times New Roman" w:cs="Times New Roman"/>
          <w:sz w:val="24"/>
          <w:szCs w:val="24"/>
          <w:shd w:val="clear" w:color="auto" w:fill="FFFFFF"/>
        </w:rPr>
        <w:t xml:space="preserve">DELGADO, Guilherme Costa. Questão Agrária no Brasil:1950-2003. In: Luciana </w:t>
      </w:r>
      <w:proofErr w:type="spellStart"/>
      <w:r w:rsidRPr="0003097C">
        <w:rPr>
          <w:rFonts w:ascii="Times New Roman" w:hAnsi="Times New Roman" w:cs="Times New Roman"/>
          <w:sz w:val="24"/>
          <w:szCs w:val="24"/>
          <w:shd w:val="clear" w:color="auto" w:fill="FFFFFF"/>
        </w:rPr>
        <w:t>Jaccoud</w:t>
      </w:r>
      <w:proofErr w:type="spellEnd"/>
      <w:r w:rsidRPr="0003097C">
        <w:rPr>
          <w:rFonts w:ascii="Times New Roman" w:hAnsi="Times New Roman" w:cs="Times New Roman"/>
          <w:sz w:val="24"/>
          <w:szCs w:val="24"/>
          <w:shd w:val="clear" w:color="auto" w:fill="FFFFFF"/>
        </w:rPr>
        <w:t xml:space="preserve">. (Org.). </w:t>
      </w:r>
      <w:r w:rsidRPr="0003097C">
        <w:rPr>
          <w:rFonts w:ascii="Times New Roman" w:hAnsi="Times New Roman" w:cs="Times New Roman"/>
          <w:b/>
          <w:sz w:val="24"/>
          <w:szCs w:val="24"/>
          <w:shd w:val="clear" w:color="auto" w:fill="FFFFFF"/>
        </w:rPr>
        <w:t>Questão Social e Políticas Sociais no Brasil Contemporâneo</w:t>
      </w:r>
      <w:r w:rsidRPr="0003097C">
        <w:rPr>
          <w:rFonts w:ascii="Times New Roman" w:hAnsi="Times New Roman" w:cs="Times New Roman"/>
          <w:sz w:val="24"/>
          <w:szCs w:val="24"/>
          <w:shd w:val="clear" w:color="auto" w:fill="FFFFFF"/>
        </w:rPr>
        <w:t>. Brasília DF: IPEA, 2005, v. 01, p. 51-90.</w:t>
      </w:r>
    </w:p>
    <w:p w14:paraId="64D656EB" w14:textId="77777777" w:rsidR="0003097C" w:rsidRPr="0003097C" w:rsidRDefault="0003097C" w:rsidP="0003097C">
      <w:pPr>
        <w:spacing w:before="120" w:after="120" w:line="240" w:lineRule="auto"/>
        <w:rPr>
          <w:rFonts w:ascii="Times New Roman" w:hAnsi="Times New Roman" w:cs="Times New Roman"/>
          <w:sz w:val="24"/>
          <w:szCs w:val="24"/>
          <w:shd w:val="clear" w:color="auto" w:fill="FFFFFF"/>
        </w:rPr>
      </w:pPr>
      <w:r w:rsidRPr="0003097C">
        <w:rPr>
          <w:rFonts w:ascii="Times New Roman" w:hAnsi="Times New Roman" w:cs="Times New Roman"/>
          <w:sz w:val="24"/>
          <w:szCs w:val="24"/>
          <w:shd w:val="clear" w:color="auto" w:fill="FFFFFF"/>
        </w:rPr>
        <w:t>DELGADO, Guilherme Costa</w:t>
      </w:r>
      <w:r w:rsidRPr="0003097C">
        <w:rPr>
          <w:rFonts w:ascii="Times New Roman" w:hAnsi="Times New Roman" w:cs="Times New Roman"/>
          <w:sz w:val="24"/>
          <w:szCs w:val="24"/>
        </w:rPr>
        <w:t>.</w:t>
      </w:r>
      <w:r w:rsidRPr="0003097C">
        <w:rPr>
          <w:rFonts w:ascii="Times New Roman" w:hAnsi="Times New Roman" w:cs="Times New Roman"/>
          <w:sz w:val="24"/>
          <w:szCs w:val="24"/>
          <w:shd w:val="clear" w:color="auto" w:fill="FFFFFF"/>
        </w:rPr>
        <w:t xml:space="preserve"> </w:t>
      </w:r>
      <w:r w:rsidRPr="0003097C">
        <w:rPr>
          <w:rFonts w:ascii="Times New Roman" w:hAnsi="Times New Roman" w:cs="Times New Roman"/>
          <w:b/>
          <w:sz w:val="24"/>
          <w:szCs w:val="24"/>
          <w:shd w:val="clear" w:color="auto" w:fill="FFFFFF"/>
        </w:rPr>
        <w:t>Do Capital Financeiro na Agricultura à Economia do Agronegócio</w:t>
      </w:r>
      <w:r w:rsidRPr="0003097C">
        <w:rPr>
          <w:rFonts w:ascii="Times New Roman" w:hAnsi="Times New Roman" w:cs="Times New Roman"/>
          <w:sz w:val="24"/>
          <w:szCs w:val="24"/>
          <w:shd w:val="clear" w:color="auto" w:fill="FFFFFF"/>
        </w:rPr>
        <w:t>: Mudanças cíclicas em meio século (1965-2012). Porto Alegre: Editora UFRGS, 2012.</w:t>
      </w:r>
    </w:p>
    <w:p w14:paraId="0DD16791" w14:textId="77777777" w:rsidR="0003097C" w:rsidRPr="0003097C" w:rsidRDefault="0003097C" w:rsidP="0003097C">
      <w:pPr>
        <w:pStyle w:val="Textodenotaderodap"/>
        <w:spacing w:before="120" w:after="120"/>
        <w:rPr>
          <w:rFonts w:ascii="Times New Roman" w:hAnsi="Times New Roman"/>
          <w:sz w:val="24"/>
          <w:szCs w:val="24"/>
        </w:rPr>
      </w:pPr>
      <w:r w:rsidRPr="0003097C">
        <w:rPr>
          <w:rFonts w:ascii="Times New Roman" w:hAnsi="Times New Roman"/>
          <w:sz w:val="24"/>
          <w:szCs w:val="24"/>
          <w:shd w:val="clear" w:color="auto" w:fill="FFFFFF"/>
        </w:rPr>
        <w:t>DELGADO, Guilherme Costa</w:t>
      </w:r>
      <w:r w:rsidRPr="0003097C">
        <w:rPr>
          <w:rFonts w:ascii="Times New Roman" w:hAnsi="Times New Roman"/>
          <w:sz w:val="24"/>
          <w:szCs w:val="24"/>
        </w:rPr>
        <w:t>.</w:t>
      </w:r>
      <w:r w:rsidRPr="0003097C">
        <w:rPr>
          <w:rFonts w:ascii="Times New Roman" w:hAnsi="Times New Roman"/>
          <w:sz w:val="24"/>
          <w:szCs w:val="24"/>
          <w:shd w:val="clear" w:color="auto" w:fill="FFFFFF"/>
        </w:rPr>
        <w:t xml:space="preserve"> </w:t>
      </w:r>
      <w:proofErr w:type="spellStart"/>
      <w:r w:rsidRPr="0003097C">
        <w:rPr>
          <w:rFonts w:ascii="Times New Roman" w:eastAsia="Times New Roman" w:hAnsi="Times New Roman"/>
          <w:bCs/>
          <w:sz w:val="24"/>
          <w:szCs w:val="24"/>
          <w:lang w:eastAsia="pt-BR"/>
        </w:rPr>
        <w:t>Mercadorização</w:t>
      </w:r>
      <w:proofErr w:type="spellEnd"/>
      <w:r w:rsidRPr="0003097C">
        <w:rPr>
          <w:rFonts w:ascii="Times New Roman" w:eastAsia="Times New Roman" w:hAnsi="Times New Roman"/>
          <w:bCs/>
          <w:sz w:val="24"/>
          <w:szCs w:val="24"/>
          <w:lang w:eastAsia="pt-BR"/>
        </w:rPr>
        <w:t>, Concentração e Internacionalização:</w:t>
      </w:r>
      <w:r w:rsidRPr="0003097C">
        <w:rPr>
          <w:rFonts w:ascii="Times New Roman" w:eastAsia="Times New Roman" w:hAnsi="Times New Roman"/>
          <w:b/>
          <w:bCs/>
          <w:sz w:val="24"/>
          <w:szCs w:val="24"/>
          <w:lang w:eastAsia="pt-BR"/>
        </w:rPr>
        <w:t xml:space="preserve"> </w:t>
      </w:r>
      <w:r w:rsidRPr="0003097C">
        <w:rPr>
          <w:rFonts w:ascii="Times New Roman" w:eastAsia="Times New Roman" w:hAnsi="Times New Roman"/>
          <w:bCs/>
          <w:sz w:val="24"/>
          <w:szCs w:val="24"/>
          <w:lang w:eastAsia="pt-BR"/>
        </w:rPr>
        <w:t xml:space="preserve">O movimento do mercado de terras. </w:t>
      </w:r>
      <w:r w:rsidRPr="0003097C">
        <w:rPr>
          <w:rFonts w:ascii="Times New Roman" w:eastAsia="Times New Roman" w:hAnsi="Times New Roman"/>
          <w:b/>
          <w:bCs/>
          <w:sz w:val="24"/>
          <w:szCs w:val="24"/>
          <w:lang w:eastAsia="pt-BR"/>
        </w:rPr>
        <w:t xml:space="preserve">Revista </w:t>
      </w:r>
      <w:r w:rsidRPr="0003097C">
        <w:rPr>
          <w:rFonts w:ascii="Times New Roman" w:eastAsia="Times New Roman" w:hAnsi="Times New Roman"/>
          <w:b/>
          <w:bCs/>
          <w:i/>
          <w:sz w:val="24"/>
          <w:szCs w:val="24"/>
          <w:lang w:eastAsia="pt-BR"/>
        </w:rPr>
        <w:t xml:space="preserve">Le Monde </w:t>
      </w:r>
      <w:proofErr w:type="spellStart"/>
      <w:r w:rsidRPr="0003097C">
        <w:rPr>
          <w:rFonts w:ascii="Times New Roman" w:eastAsia="Times New Roman" w:hAnsi="Times New Roman"/>
          <w:b/>
          <w:bCs/>
          <w:i/>
          <w:sz w:val="24"/>
          <w:szCs w:val="24"/>
          <w:lang w:eastAsia="pt-BR"/>
        </w:rPr>
        <w:t>Diplomatique</w:t>
      </w:r>
      <w:proofErr w:type="spellEnd"/>
      <w:r w:rsidRPr="0003097C">
        <w:rPr>
          <w:rFonts w:ascii="Times New Roman" w:eastAsia="Times New Roman" w:hAnsi="Times New Roman"/>
          <w:b/>
          <w:bCs/>
          <w:sz w:val="24"/>
          <w:szCs w:val="24"/>
          <w:lang w:eastAsia="pt-BR"/>
        </w:rPr>
        <w:t xml:space="preserve"> Brasil</w:t>
      </w:r>
      <w:r w:rsidRPr="0003097C">
        <w:rPr>
          <w:rFonts w:ascii="Times New Roman" w:eastAsia="Times New Roman" w:hAnsi="Times New Roman"/>
          <w:bCs/>
          <w:sz w:val="24"/>
          <w:szCs w:val="24"/>
          <w:lang w:eastAsia="pt-BR"/>
        </w:rPr>
        <w:t>, edição 105, abril 2016. Disponível em: &lt;</w:t>
      </w:r>
      <w:r w:rsidRPr="0003097C">
        <w:rPr>
          <w:rFonts w:ascii="Times New Roman" w:hAnsi="Times New Roman"/>
          <w:sz w:val="24"/>
          <w:szCs w:val="24"/>
        </w:rPr>
        <w:t>http://diplomatique.org.br/o-movimento-do-mercado-de-terras/&gt;. Acesso abril 2017.</w:t>
      </w:r>
    </w:p>
    <w:p w14:paraId="5D550ABC" w14:textId="77777777" w:rsidR="0003097C" w:rsidRPr="0003097C" w:rsidRDefault="0003097C" w:rsidP="0003097C">
      <w:pPr>
        <w:widowControl w:val="0"/>
        <w:spacing w:before="120" w:after="120" w:line="240" w:lineRule="auto"/>
        <w:rPr>
          <w:rFonts w:ascii="Times New Roman" w:hAnsi="Times New Roman" w:cs="Times New Roman"/>
          <w:sz w:val="24"/>
          <w:szCs w:val="24"/>
          <w:lang w:val="es-ES"/>
        </w:rPr>
      </w:pPr>
      <w:r w:rsidRPr="0003097C">
        <w:rPr>
          <w:rFonts w:ascii="Times New Roman" w:hAnsi="Times New Roman" w:cs="Times New Roman"/>
          <w:sz w:val="24"/>
          <w:szCs w:val="24"/>
          <w:lang w:val="es-ES"/>
        </w:rPr>
        <w:t xml:space="preserve">ETXEZARRETA, Miren. Tendencias de Evolución de la Agricultura al Principio del siglo XXI. In: ETXEZARRETA, Miren (Coord.). </w:t>
      </w:r>
      <w:r w:rsidRPr="0003097C">
        <w:rPr>
          <w:rFonts w:ascii="Times New Roman" w:hAnsi="Times New Roman" w:cs="Times New Roman"/>
          <w:b/>
          <w:sz w:val="24"/>
          <w:szCs w:val="24"/>
          <w:lang w:val="es-ES"/>
        </w:rPr>
        <w:t>La agricultura española en la era de La globalización</w:t>
      </w:r>
      <w:r w:rsidRPr="0003097C">
        <w:rPr>
          <w:rFonts w:ascii="Times New Roman" w:hAnsi="Times New Roman" w:cs="Times New Roman"/>
          <w:sz w:val="24"/>
          <w:szCs w:val="24"/>
          <w:lang w:val="es-ES"/>
        </w:rPr>
        <w:t>. Madrid: Ministerio de Agricultura, pesca y alimentación, Centro de Publicaciones, 2006.</w:t>
      </w:r>
    </w:p>
    <w:p w14:paraId="2289C98E" w14:textId="77777777" w:rsidR="0003097C" w:rsidRPr="0003097C" w:rsidRDefault="0003097C" w:rsidP="0003097C">
      <w:pPr>
        <w:spacing w:before="120" w:after="120" w:line="240" w:lineRule="auto"/>
        <w:rPr>
          <w:rFonts w:ascii="Times New Roman" w:hAnsi="Times New Roman" w:cs="Times New Roman"/>
          <w:sz w:val="24"/>
          <w:szCs w:val="24"/>
          <w:lang w:val="en-US"/>
        </w:rPr>
      </w:pPr>
      <w:r w:rsidRPr="0003097C">
        <w:rPr>
          <w:rFonts w:ascii="Times New Roman" w:hAnsi="Times New Roman" w:cs="Times New Roman"/>
          <w:sz w:val="24"/>
          <w:szCs w:val="24"/>
        </w:rPr>
        <w:t xml:space="preserve">FGV. Fundação Getúlio Vargas. </w:t>
      </w:r>
      <w:r w:rsidRPr="0003097C">
        <w:rPr>
          <w:rFonts w:ascii="Times New Roman" w:hAnsi="Times New Roman" w:cs="Times New Roman"/>
          <w:b/>
          <w:sz w:val="24"/>
          <w:szCs w:val="24"/>
        </w:rPr>
        <w:t>Preços de terras</w:t>
      </w:r>
      <w:r w:rsidRPr="0003097C">
        <w:rPr>
          <w:rFonts w:ascii="Times New Roman" w:hAnsi="Times New Roman" w:cs="Times New Roman"/>
          <w:sz w:val="24"/>
          <w:szCs w:val="24"/>
        </w:rPr>
        <w:t xml:space="preserve">. Diversos períodos. Disponível em: http://portalibre.fgv.br/. </w:t>
      </w:r>
      <w:proofErr w:type="spellStart"/>
      <w:r w:rsidRPr="0003097C">
        <w:rPr>
          <w:rFonts w:ascii="Times New Roman" w:hAnsi="Times New Roman" w:cs="Times New Roman"/>
          <w:sz w:val="24"/>
          <w:szCs w:val="24"/>
          <w:lang w:val="en-US"/>
        </w:rPr>
        <w:t>Acesso</w:t>
      </w:r>
      <w:proofErr w:type="spellEnd"/>
      <w:r w:rsidRPr="0003097C">
        <w:rPr>
          <w:rFonts w:ascii="Times New Roman" w:hAnsi="Times New Roman" w:cs="Times New Roman"/>
          <w:sz w:val="24"/>
          <w:szCs w:val="24"/>
          <w:lang w:val="en-US"/>
        </w:rPr>
        <w:t xml:space="preserve"> </w:t>
      </w:r>
      <w:proofErr w:type="spellStart"/>
      <w:r w:rsidRPr="0003097C">
        <w:rPr>
          <w:rFonts w:ascii="Times New Roman" w:hAnsi="Times New Roman" w:cs="Times New Roman"/>
          <w:sz w:val="24"/>
          <w:szCs w:val="24"/>
          <w:lang w:val="en-US"/>
        </w:rPr>
        <w:t>em</w:t>
      </w:r>
      <w:proofErr w:type="spellEnd"/>
      <w:r w:rsidRPr="0003097C">
        <w:rPr>
          <w:rFonts w:ascii="Times New Roman" w:hAnsi="Times New Roman" w:cs="Times New Roman"/>
          <w:sz w:val="24"/>
          <w:szCs w:val="24"/>
          <w:lang w:val="en-US"/>
        </w:rPr>
        <w:t xml:space="preserve">: </w:t>
      </w:r>
      <w:proofErr w:type="spellStart"/>
      <w:r w:rsidRPr="0003097C">
        <w:rPr>
          <w:rFonts w:ascii="Times New Roman" w:hAnsi="Times New Roman" w:cs="Times New Roman"/>
          <w:sz w:val="24"/>
          <w:szCs w:val="24"/>
          <w:lang w:val="en-US"/>
        </w:rPr>
        <w:t>mai</w:t>
      </w:r>
      <w:proofErr w:type="spellEnd"/>
      <w:r w:rsidRPr="0003097C">
        <w:rPr>
          <w:rFonts w:ascii="Times New Roman" w:hAnsi="Times New Roman" w:cs="Times New Roman"/>
          <w:sz w:val="24"/>
          <w:szCs w:val="24"/>
          <w:lang w:val="en-US"/>
        </w:rPr>
        <w:t>. 2018.</w:t>
      </w:r>
    </w:p>
    <w:p w14:paraId="1B061EB6" w14:textId="7AD11A92"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shd w:val="clear" w:color="auto" w:fill="FFFFFF"/>
          <w:lang w:val="en-US"/>
        </w:rPr>
      </w:pPr>
      <w:r w:rsidRPr="0003097C">
        <w:rPr>
          <w:rFonts w:ascii="Times New Roman" w:hAnsi="Times New Roman" w:cs="Times New Roman"/>
          <w:sz w:val="24"/>
          <w:szCs w:val="24"/>
          <w:lang w:val="en-US"/>
        </w:rPr>
        <w:t xml:space="preserve">FRIEDMANN, Harriet. Feeding the Empire: </w:t>
      </w:r>
      <w:r w:rsidR="00523E4A" w:rsidRPr="0003097C">
        <w:rPr>
          <w:rFonts w:ascii="Times New Roman" w:hAnsi="Times New Roman" w:cs="Times New Roman"/>
          <w:sz w:val="24"/>
          <w:szCs w:val="24"/>
          <w:lang w:val="en-US"/>
        </w:rPr>
        <w:t>The</w:t>
      </w:r>
      <w:r w:rsidRPr="0003097C">
        <w:rPr>
          <w:rFonts w:ascii="Times New Roman" w:hAnsi="Times New Roman" w:cs="Times New Roman"/>
          <w:sz w:val="24"/>
          <w:szCs w:val="24"/>
          <w:lang w:val="en-US"/>
        </w:rPr>
        <w:t xml:space="preserve"> Pathologies of Globalized Agriculture. In: PANITCH, Leo; LEYS, Colin (ed.), </w:t>
      </w:r>
      <w:r w:rsidRPr="0003097C">
        <w:rPr>
          <w:rFonts w:ascii="Times New Roman" w:hAnsi="Times New Roman" w:cs="Times New Roman"/>
          <w:b/>
          <w:bCs/>
          <w:sz w:val="24"/>
          <w:szCs w:val="24"/>
          <w:lang w:val="en-US"/>
        </w:rPr>
        <w:t>The Socialist Register 2005</w:t>
      </w:r>
      <w:r w:rsidRPr="0003097C">
        <w:rPr>
          <w:rFonts w:ascii="Times New Roman" w:hAnsi="Times New Roman" w:cs="Times New Roman"/>
          <w:sz w:val="24"/>
          <w:szCs w:val="24"/>
          <w:lang w:val="en-US"/>
        </w:rPr>
        <w:t>. London: Merlin Press, 2004.</w:t>
      </w:r>
      <w:r w:rsidRPr="0003097C">
        <w:rPr>
          <w:rFonts w:ascii="Times New Roman" w:hAnsi="Times New Roman" w:cs="Times New Roman"/>
          <w:sz w:val="24"/>
          <w:szCs w:val="24"/>
          <w:shd w:val="clear" w:color="auto" w:fill="FFFFFF"/>
          <w:lang w:val="en-US"/>
        </w:rPr>
        <w:t xml:space="preserve"> </w:t>
      </w:r>
    </w:p>
    <w:p w14:paraId="54D4E297" w14:textId="77777777" w:rsidR="0003097C" w:rsidRPr="0003097C" w:rsidRDefault="0003097C" w:rsidP="0003097C">
      <w:pPr>
        <w:tabs>
          <w:tab w:val="left" w:pos="1290"/>
        </w:tabs>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HECK, Claudia Regina. </w:t>
      </w:r>
      <w:r w:rsidRPr="0003097C">
        <w:rPr>
          <w:rFonts w:ascii="Times New Roman" w:hAnsi="Times New Roman" w:cs="Times New Roman"/>
          <w:b/>
          <w:sz w:val="24"/>
          <w:szCs w:val="24"/>
        </w:rPr>
        <w:t>A heterogeneidade socioeconômica como limitante do desenvolvimento do estado de Mato Grosso.</w:t>
      </w:r>
      <w:r w:rsidRPr="0003097C">
        <w:rPr>
          <w:rFonts w:ascii="Times New Roman" w:hAnsi="Times New Roman" w:cs="Times New Roman"/>
          <w:sz w:val="24"/>
          <w:szCs w:val="24"/>
        </w:rPr>
        <w:t xml:space="preserve"> Tese de Doutorado. Universidade Estadual de Campinas. Campinas, SP, 2019.</w:t>
      </w:r>
    </w:p>
    <w:p w14:paraId="4D61DB24" w14:textId="60036A28" w:rsidR="009C48DD" w:rsidRPr="009C48DD" w:rsidRDefault="009C48DD" w:rsidP="009C48DD">
      <w:pPr>
        <w:shd w:val="clear" w:color="auto" w:fill="FFFFFF"/>
        <w:spacing w:before="120" w:after="120" w:line="240" w:lineRule="auto"/>
        <w:rPr>
          <w:rFonts w:ascii="Times New Roman" w:hAnsi="Times New Roman" w:cs="Times New Roman"/>
          <w:color w:val="222222"/>
          <w:sz w:val="24"/>
          <w:szCs w:val="24"/>
          <w:shd w:val="clear" w:color="auto" w:fill="FFFFFF"/>
        </w:rPr>
      </w:pPr>
      <w:r w:rsidRPr="009C48DD">
        <w:rPr>
          <w:rFonts w:ascii="Times New Roman" w:hAnsi="Times New Roman" w:cs="Times New Roman"/>
          <w:sz w:val="24"/>
          <w:szCs w:val="24"/>
          <w:shd w:val="clear" w:color="auto" w:fill="FFFFFF"/>
        </w:rPr>
        <w:t>IARC</w:t>
      </w:r>
      <w:r w:rsidR="00197281">
        <w:rPr>
          <w:rFonts w:ascii="Times New Roman" w:hAnsi="Times New Roman" w:cs="Times New Roman"/>
          <w:sz w:val="24"/>
          <w:szCs w:val="24"/>
          <w:shd w:val="clear" w:color="auto" w:fill="FFFFFF"/>
        </w:rPr>
        <w:t>.</w:t>
      </w:r>
      <w:r w:rsidRPr="009C48DD">
        <w:rPr>
          <w:rFonts w:ascii="Times New Roman" w:hAnsi="Times New Roman" w:cs="Times New Roman"/>
          <w:sz w:val="24"/>
          <w:szCs w:val="24"/>
          <w:shd w:val="clear" w:color="auto" w:fill="FFFFFF"/>
        </w:rPr>
        <w:t xml:space="preserve"> </w:t>
      </w:r>
      <w:proofErr w:type="spellStart"/>
      <w:r w:rsidR="00197281" w:rsidRPr="009C48DD">
        <w:rPr>
          <w:rFonts w:ascii="Times New Roman" w:hAnsi="Times New Roman" w:cs="Times New Roman"/>
          <w:sz w:val="24"/>
          <w:szCs w:val="24"/>
          <w:shd w:val="clear" w:color="auto" w:fill="FFFFFF"/>
        </w:rPr>
        <w:t>Working</w:t>
      </w:r>
      <w:proofErr w:type="spellEnd"/>
      <w:r w:rsidR="00197281" w:rsidRPr="009C48DD">
        <w:rPr>
          <w:rFonts w:ascii="Times New Roman" w:hAnsi="Times New Roman" w:cs="Times New Roman"/>
          <w:sz w:val="24"/>
          <w:szCs w:val="24"/>
          <w:shd w:val="clear" w:color="auto" w:fill="FFFFFF"/>
        </w:rPr>
        <w:t xml:space="preserve"> </w:t>
      </w:r>
      <w:proofErr w:type="spellStart"/>
      <w:r w:rsidR="00197281" w:rsidRPr="009C48DD">
        <w:rPr>
          <w:rFonts w:ascii="Times New Roman" w:hAnsi="Times New Roman" w:cs="Times New Roman"/>
          <w:sz w:val="24"/>
          <w:szCs w:val="24"/>
          <w:shd w:val="clear" w:color="auto" w:fill="FFFFFF"/>
        </w:rPr>
        <w:t>Group</w:t>
      </w:r>
      <w:proofErr w:type="spellEnd"/>
      <w:r w:rsidR="00197281" w:rsidRPr="009C48DD">
        <w:rPr>
          <w:rFonts w:ascii="Times New Roman" w:hAnsi="Times New Roman" w:cs="Times New Roman"/>
          <w:sz w:val="24"/>
          <w:szCs w:val="24"/>
          <w:shd w:val="clear" w:color="auto" w:fill="FFFFFF"/>
        </w:rPr>
        <w:t xml:space="preserve"> </w:t>
      </w:r>
      <w:proofErr w:type="spellStart"/>
      <w:r w:rsidR="00174927">
        <w:rPr>
          <w:rFonts w:ascii="Times New Roman" w:hAnsi="Times New Roman" w:cs="Times New Roman"/>
          <w:sz w:val="24"/>
          <w:szCs w:val="24"/>
          <w:shd w:val="clear" w:color="auto" w:fill="FFFFFF"/>
        </w:rPr>
        <w:t>o</w:t>
      </w:r>
      <w:r w:rsidR="00197281" w:rsidRPr="009C48DD">
        <w:rPr>
          <w:rFonts w:ascii="Times New Roman" w:hAnsi="Times New Roman" w:cs="Times New Roman"/>
          <w:sz w:val="24"/>
          <w:szCs w:val="24"/>
          <w:shd w:val="clear" w:color="auto" w:fill="FFFFFF"/>
        </w:rPr>
        <w:t>n</w:t>
      </w:r>
      <w:proofErr w:type="spellEnd"/>
      <w:r w:rsidR="00197281" w:rsidRPr="009C48DD">
        <w:rPr>
          <w:rFonts w:ascii="Times New Roman" w:hAnsi="Times New Roman" w:cs="Times New Roman"/>
          <w:sz w:val="24"/>
          <w:szCs w:val="24"/>
          <w:shd w:val="clear" w:color="auto" w:fill="FFFFFF"/>
        </w:rPr>
        <w:t xml:space="preserve"> </w:t>
      </w:r>
      <w:proofErr w:type="spellStart"/>
      <w:r w:rsidR="00174927">
        <w:rPr>
          <w:rFonts w:ascii="Times New Roman" w:hAnsi="Times New Roman" w:cs="Times New Roman"/>
          <w:sz w:val="24"/>
          <w:szCs w:val="24"/>
          <w:shd w:val="clear" w:color="auto" w:fill="FFFFFF"/>
        </w:rPr>
        <w:t>t</w:t>
      </w:r>
      <w:r w:rsidR="00197281" w:rsidRPr="009C48DD">
        <w:rPr>
          <w:rFonts w:ascii="Times New Roman" w:hAnsi="Times New Roman" w:cs="Times New Roman"/>
          <w:sz w:val="24"/>
          <w:szCs w:val="24"/>
          <w:shd w:val="clear" w:color="auto" w:fill="FFFFFF"/>
        </w:rPr>
        <w:t>he</w:t>
      </w:r>
      <w:proofErr w:type="spellEnd"/>
      <w:r w:rsidR="00197281" w:rsidRPr="009C48DD">
        <w:rPr>
          <w:rFonts w:ascii="Times New Roman" w:hAnsi="Times New Roman" w:cs="Times New Roman"/>
          <w:sz w:val="24"/>
          <w:szCs w:val="24"/>
          <w:shd w:val="clear" w:color="auto" w:fill="FFFFFF"/>
        </w:rPr>
        <w:t xml:space="preserve"> </w:t>
      </w:r>
      <w:proofErr w:type="spellStart"/>
      <w:r w:rsidR="00197281" w:rsidRPr="009C48DD">
        <w:rPr>
          <w:rFonts w:ascii="Times New Roman" w:hAnsi="Times New Roman" w:cs="Times New Roman"/>
          <w:sz w:val="24"/>
          <w:szCs w:val="24"/>
          <w:shd w:val="clear" w:color="auto" w:fill="FFFFFF"/>
        </w:rPr>
        <w:t>Evaluation</w:t>
      </w:r>
      <w:proofErr w:type="spellEnd"/>
      <w:r w:rsidR="00197281" w:rsidRPr="009C48DD">
        <w:rPr>
          <w:rFonts w:ascii="Times New Roman" w:hAnsi="Times New Roman" w:cs="Times New Roman"/>
          <w:sz w:val="24"/>
          <w:szCs w:val="24"/>
          <w:shd w:val="clear" w:color="auto" w:fill="FFFFFF"/>
        </w:rPr>
        <w:t xml:space="preserve"> </w:t>
      </w:r>
      <w:proofErr w:type="spellStart"/>
      <w:r w:rsidR="00174927">
        <w:rPr>
          <w:rFonts w:ascii="Times New Roman" w:hAnsi="Times New Roman" w:cs="Times New Roman"/>
          <w:sz w:val="24"/>
          <w:szCs w:val="24"/>
          <w:shd w:val="clear" w:color="auto" w:fill="FFFFFF"/>
        </w:rPr>
        <w:t>o</w:t>
      </w:r>
      <w:r w:rsidR="00197281" w:rsidRPr="009C48DD">
        <w:rPr>
          <w:rFonts w:ascii="Times New Roman" w:hAnsi="Times New Roman" w:cs="Times New Roman"/>
          <w:sz w:val="24"/>
          <w:szCs w:val="24"/>
          <w:shd w:val="clear" w:color="auto" w:fill="FFFFFF"/>
        </w:rPr>
        <w:t>f</w:t>
      </w:r>
      <w:proofErr w:type="spellEnd"/>
      <w:r w:rsidR="00197281" w:rsidRPr="009C48DD">
        <w:rPr>
          <w:rFonts w:ascii="Times New Roman" w:hAnsi="Times New Roman" w:cs="Times New Roman"/>
          <w:sz w:val="24"/>
          <w:szCs w:val="24"/>
          <w:shd w:val="clear" w:color="auto" w:fill="FFFFFF"/>
        </w:rPr>
        <w:t xml:space="preserve"> </w:t>
      </w:r>
      <w:proofErr w:type="spellStart"/>
      <w:r w:rsidR="00197281" w:rsidRPr="009C48DD">
        <w:rPr>
          <w:rFonts w:ascii="Times New Roman" w:hAnsi="Times New Roman" w:cs="Times New Roman"/>
          <w:sz w:val="24"/>
          <w:szCs w:val="24"/>
          <w:shd w:val="clear" w:color="auto" w:fill="FFFFFF"/>
        </w:rPr>
        <w:t>Carcinogenic</w:t>
      </w:r>
      <w:proofErr w:type="spellEnd"/>
      <w:r w:rsidR="00197281" w:rsidRPr="009C48DD">
        <w:rPr>
          <w:rFonts w:ascii="Times New Roman" w:hAnsi="Times New Roman" w:cs="Times New Roman"/>
          <w:sz w:val="24"/>
          <w:szCs w:val="24"/>
          <w:shd w:val="clear" w:color="auto" w:fill="FFFFFF"/>
        </w:rPr>
        <w:t xml:space="preserve"> </w:t>
      </w:r>
      <w:proofErr w:type="spellStart"/>
      <w:r w:rsidR="00197281" w:rsidRPr="009C48DD">
        <w:rPr>
          <w:rFonts w:ascii="Times New Roman" w:hAnsi="Times New Roman" w:cs="Times New Roman"/>
          <w:sz w:val="24"/>
          <w:szCs w:val="24"/>
          <w:shd w:val="clear" w:color="auto" w:fill="FFFFFF"/>
        </w:rPr>
        <w:t>Risks</w:t>
      </w:r>
      <w:proofErr w:type="spellEnd"/>
      <w:r w:rsidR="00197281" w:rsidRPr="009C48DD">
        <w:rPr>
          <w:rFonts w:ascii="Times New Roman" w:hAnsi="Times New Roman" w:cs="Times New Roman"/>
          <w:sz w:val="24"/>
          <w:szCs w:val="24"/>
          <w:shd w:val="clear" w:color="auto" w:fill="FFFFFF"/>
        </w:rPr>
        <w:t xml:space="preserve"> </w:t>
      </w:r>
      <w:proofErr w:type="spellStart"/>
      <w:r w:rsidR="00174927">
        <w:rPr>
          <w:rFonts w:ascii="Times New Roman" w:hAnsi="Times New Roman" w:cs="Times New Roman"/>
          <w:sz w:val="24"/>
          <w:szCs w:val="24"/>
          <w:shd w:val="clear" w:color="auto" w:fill="FFFFFF"/>
        </w:rPr>
        <w:t>t</w:t>
      </w:r>
      <w:r w:rsidR="00197281" w:rsidRPr="009C48DD">
        <w:rPr>
          <w:rFonts w:ascii="Times New Roman" w:hAnsi="Times New Roman" w:cs="Times New Roman"/>
          <w:sz w:val="24"/>
          <w:szCs w:val="24"/>
          <w:shd w:val="clear" w:color="auto" w:fill="FFFFFF"/>
        </w:rPr>
        <w:t>o</w:t>
      </w:r>
      <w:proofErr w:type="spellEnd"/>
      <w:r w:rsidR="00197281" w:rsidRPr="009C48DD">
        <w:rPr>
          <w:rFonts w:ascii="Times New Roman" w:hAnsi="Times New Roman" w:cs="Times New Roman"/>
          <w:sz w:val="24"/>
          <w:szCs w:val="24"/>
          <w:shd w:val="clear" w:color="auto" w:fill="FFFFFF"/>
        </w:rPr>
        <w:t xml:space="preserve"> </w:t>
      </w:r>
      <w:proofErr w:type="spellStart"/>
      <w:r w:rsidR="00197281" w:rsidRPr="009C48DD">
        <w:rPr>
          <w:rFonts w:ascii="Times New Roman" w:hAnsi="Times New Roman" w:cs="Times New Roman"/>
          <w:sz w:val="24"/>
          <w:szCs w:val="24"/>
          <w:shd w:val="clear" w:color="auto" w:fill="FFFFFF"/>
        </w:rPr>
        <w:t>Humans</w:t>
      </w:r>
      <w:proofErr w:type="spellEnd"/>
      <w:r w:rsidRPr="009C48DD">
        <w:rPr>
          <w:rFonts w:ascii="Times New Roman" w:hAnsi="Times New Roman" w:cs="Times New Roman"/>
          <w:sz w:val="24"/>
          <w:szCs w:val="24"/>
          <w:shd w:val="clear" w:color="auto" w:fill="FFFFFF"/>
        </w:rPr>
        <w:t xml:space="preserve"> et al. </w:t>
      </w:r>
      <w:r w:rsidRPr="009C48DD">
        <w:rPr>
          <w:rFonts w:ascii="Times New Roman" w:hAnsi="Times New Roman" w:cs="Times New Roman"/>
          <w:b/>
          <w:bCs/>
          <w:sz w:val="24"/>
          <w:szCs w:val="24"/>
          <w:shd w:val="clear" w:color="auto" w:fill="FFFFFF"/>
        </w:rPr>
        <w:t xml:space="preserve">IARC </w:t>
      </w:r>
      <w:proofErr w:type="spellStart"/>
      <w:r w:rsidRPr="009C48DD">
        <w:rPr>
          <w:rFonts w:ascii="Times New Roman" w:hAnsi="Times New Roman" w:cs="Times New Roman"/>
          <w:b/>
          <w:bCs/>
          <w:sz w:val="24"/>
          <w:szCs w:val="24"/>
          <w:shd w:val="clear" w:color="auto" w:fill="FFFFFF"/>
        </w:rPr>
        <w:t>monographs</w:t>
      </w:r>
      <w:proofErr w:type="spellEnd"/>
      <w:r w:rsidRPr="009C48DD">
        <w:rPr>
          <w:rFonts w:ascii="Times New Roman" w:hAnsi="Times New Roman" w:cs="Times New Roman"/>
          <w:b/>
          <w:bCs/>
          <w:sz w:val="24"/>
          <w:szCs w:val="24"/>
          <w:shd w:val="clear" w:color="auto" w:fill="FFFFFF"/>
        </w:rPr>
        <w:t xml:space="preserve"> </w:t>
      </w:r>
      <w:proofErr w:type="spellStart"/>
      <w:r w:rsidRPr="009C48DD">
        <w:rPr>
          <w:rFonts w:ascii="Times New Roman" w:hAnsi="Times New Roman" w:cs="Times New Roman"/>
          <w:b/>
          <w:bCs/>
          <w:sz w:val="24"/>
          <w:szCs w:val="24"/>
        </w:rPr>
        <w:t>evaluation</w:t>
      </w:r>
      <w:proofErr w:type="spellEnd"/>
      <w:r w:rsidRPr="009C48DD">
        <w:rPr>
          <w:rFonts w:ascii="Times New Roman" w:hAnsi="Times New Roman" w:cs="Times New Roman"/>
          <w:b/>
          <w:bCs/>
          <w:sz w:val="24"/>
          <w:szCs w:val="24"/>
        </w:rPr>
        <w:t xml:space="preserve"> </w:t>
      </w:r>
      <w:proofErr w:type="spellStart"/>
      <w:r w:rsidRPr="009C48DD">
        <w:rPr>
          <w:rFonts w:ascii="Times New Roman" w:hAnsi="Times New Roman" w:cs="Times New Roman"/>
          <w:b/>
          <w:bCs/>
          <w:sz w:val="24"/>
          <w:szCs w:val="24"/>
        </w:rPr>
        <w:t>of</w:t>
      </w:r>
      <w:proofErr w:type="spellEnd"/>
      <w:r w:rsidRPr="009C48DD">
        <w:rPr>
          <w:rFonts w:ascii="Times New Roman" w:hAnsi="Times New Roman" w:cs="Times New Roman"/>
          <w:b/>
          <w:bCs/>
          <w:sz w:val="24"/>
          <w:szCs w:val="24"/>
        </w:rPr>
        <w:t xml:space="preserve"> </w:t>
      </w:r>
      <w:proofErr w:type="spellStart"/>
      <w:r w:rsidRPr="009C48DD">
        <w:rPr>
          <w:rFonts w:ascii="Times New Roman" w:hAnsi="Times New Roman" w:cs="Times New Roman"/>
          <w:b/>
          <w:bCs/>
          <w:sz w:val="24"/>
          <w:szCs w:val="24"/>
        </w:rPr>
        <w:t>five</w:t>
      </w:r>
      <w:proofErr w:type="spellEnd"/>
      <w:r w:rsidRPr="009C48DD">
        <w:rPr>
          <w:rFonts w:ascii="Times New Roman" w:hAnsi="Times New Roman" w:cs="Times New Roman"/>
          <w:b/>
          <w:bCs/>
          <w:sz w:val="24"/>
          <w:szCs w:val="24"/>
        </w:rPr>
        <w:t xml:space="preserve"> </w:t>
      </w:r>
      <w:proofErr w:type="spellStart"/>
      <w:r w:rsidRPr="009C48DD">
        <w:rPr>
          <w:rFonts w:ascii="Times New Roman" w:hAnsi="Times New Roman" w:cs="Times New Roman"/>
          <w:b/>
          <w:bCs/>
          <w:sz w:val="24"/>
          <w:szCs w:val="24"/>
        </w:rPr>
        <w:t>organophosphate</w:t>
      </w:r>
      <w:proofErr w:type="spellEnd"/>
      <w:r w:rsidRPr="009C48DD">
        <w:rPr>
          <w:rFonts w:ascii="Times New Roman" w:hAnsi="Times New Roman" w:cs="Times New Roman"/>
          <w:b/>
          <w:bCs/>
          <w:sz w:val="24"/>
          <w:szCs w:val="24"/>
        </w:rPr>
        <w:t xml:space="preserve"> </w:t>
      </w:r>
      <w:proofErr w:type="spellStart"/>
      <w:r w:rsidRPr="009C48DD">
        <w:rPr>
          <w:rFonts w:ascii="Times New Roman" w:hAnsi="Times New Roman" w:cs="Times New Roman"/>
          <w:b/>
          <w:bCs/>
          <w:sz w:val="24"/>
          <w:szCs w:val="24"/>
        </w:rPr>
        <w:t>insecticides</w:t>
      </w:r>
      <w:proofErr w:type="spellEnd"/>
      <w:r w:rsidRPr="009C48DD">
        <w:rPr>
          <w:rFonts w:ascii="Times New Roman" w:hAnsi="Times New Roman" w:cs="Times New Roman"/>
          <w:b/>
          <w:bCs/>
          <w:sz w:val="24"/>
          <w:szCs w:val="24"/>
        </w:rPr>
        <w:t xml:space="preserve"> </w:t>
      </w:r>
      <w:proofErr w:type="spellStart"/>
      <w:r w:rsidRPr="009C48DD">
        <w:rPr>
          <w:rFonts w:ascii="Times New Roman" w:hAnsi="Times New Roman" w:cs="Times New Roman"/>
          <w:b/>
          <w:bCs/>
          <w:sz w:val="24"/>
          <w:szCs w:val="24"/>
        </w:rPr>
        <w:t>and</w:t>
      </w:r>
      <w:proofErr w:type="spellEnd"/>
      <w:r w:rsidRPr="009C48DD">
        <w:rPr>
          <w:rFonts w:ascii="Times New Roman" w:hAnsi="Times New Roman" w:cs="Times New Roman"/>
          <w:b/>
          <w:bCs/>
          <w:sz w:val="24"/>
          <w:szCs w:val="24"/>
        </w:rPr>
        <w:t xml:space="preserve"> </w:t>
      </w:r>
      <w:proofErr w:type="spellStart"/>
      <w:r w:rsidRPr="009C48DD">
        <w:rPr>
          <w:rFonts w:ascii="Times New Roman" w:hAnsi="Times New Roman" w:cs="Times New Roman"/>
          <w:b/>
          <w:bCs/>
          <w:sz w:val="24"/>
          <w:szCs w:val="24"/>
        </w:rPr>
        <w:t>herbicides</w:t>
      </w:r>
      <w:proofErr w:type="spellEnd"/>
      <w:r w:rsidRPr="009C48DD">
        <w:rPr>
          <w:rFonts w:ascii="Times New Roman" w:hAnsi="Times New Roman" w:cs="Times New Roman"/>
          <w:sz w:val="24"/>
          <w:szCs w:val="24"/>
          <w:shd w:val="clear" w:color="auto" w:fill="FFFFFF"/>
        </w:rPr>
        <w:t xml:space="preserve">. Volume </w:t>
      </w:r>
      <w:r w:rsidRPr="009C48DD">
        <w:rPr>
          <w:rFonts w:ascii="Times New Roman" w:hAnsi="Times New Roman" w:cs="Times New Roman"/>
          <w:sz w:val="24"/>
          <w:szCs w:val="24"/>
          <w:shd w:val="clear" w:color="auto" w:fill="FFFFFF"/>
        </w:rPr>
        <w:lastRenderedPageBreak/>
        <w:t xml:space="preserve">112. 2015. Disponível em: </w:t>
      </w:r>
      <w:hyperlink r:id="rId15" w:history="1">
        <w:r w:rsidRPr="006B4276">
          <w:rPr>
            <w:rStyle w:val="Hyperlink"/>
            <w:rFonts w:ascii="Times New Roman" w:hAnsi="Times New Roman" w:cs="Times New Roman"/>
            <w:color w:val="auto"/>
            <w:sz w:val="24"/>
            <w:szCs w:val="24"/>
            <w:u w:val="none"/>
            <w:shd w:val="clear" w:color="auto" w:fill="FFFFFF"/>
          </w:rPr>
          <w:t>https://www.iarc.fr/wp-content/uploads/2018/07/MonographVolume112-1.pdf</w:t>
        </w:r>
      </w:hyperlink>
      <w:r w:rsidRPr="006B4276">
        <w:rPr>
          <w:rFonts w:ascii="Times New Roman" w:hAnsi="Times New Roman" w:cs="Times New Roman"/>
          <w:color w:val="222222"/>
          <w:sz w:val="24"/>
          <w:szCs w:val="24"/>
          <w:shd w:val="clear" w:color="auto" w:fill="FFFFFF"/>
        </w:rPr>
        <w:t>.</w:t>
      </w:r>
      <w:r w:rsidRPr="009C48DD">
        <w:rPr>
          <w:rFonts w:ascii="Times New Roman" w:hAnsi="Times New Roman" w:cs="Times New Roman"/>
          <w:color w:val="222222"/>
          <w:sz w:val="24"/>
          <w:szCs w:val="24"/>
          <w:shd w:val="clear" w:color="auto" w:fill="FFFFFF"/>
        </w:rPr>
        <w:t xml:space="preserve"> Acesso em 11 nov. 2020.</w:t>
      </w:r>
    </w:p>
    <w:p w14:paraId="1F73DED9" w14:textId="77777777" w:rsidR="0003097C" w:rsidRPr="0003097C" w:rsidRDefault="0003097C" w:rsidP="0003097C">
      <w:pPr>
        <w:spacing w:before="120" w:after="120" w:line="240" w:lineRule="auto"/>
        <w:rPr>
          <w:rStyle w:val="Forte"/>
          <w:rFonts w:ascii="Times New Roman" w:hAnsi="Times New Roman" w:cs="Times New Roman"/>
          <w:sz w:val="24"/>
          <w:szCs w:val="24"/>
          <w:shd w:val="clear" w:color="auto" w:fill="FFFFFF"/>
        </w:rPr>
      </w:pPr>
      <w:r w:rsidRPr="0003097C">
        <w:rPr>
          <w:rFonts w:ascii="Times New Roman" w:hAnsi="Times New Roman" w:cs="Times New Roman"/>
          <w:sz w:val="24"/>
          <w:szCs w:val="24"/>
          <w:shd w:val="clear" w:color="auto" w:fill="FFFFFF"/>
        </w:rPr>
        <w:t xml:space="preserve">IBAMA. Instituto Brasileiro do Meio Ambiente e dos Recursos Naturais Renováveis. </w:t>
      </w:r>
      <w:r w:rsidRPr="0003097C">
        <w:rPr>
          <w:rFonts w:ascii="Times New Roman" w:hAnsi="Times New Roman" w:cs="Times New Roman"/>
          <w:b/>
          <w:sz w:val="24"/>
          <w:szCs w:val="24"/>
          <w:shd w:val="clear" w:color="auto" w:fill="FFFFFF"/>
        </w:rPr>
        <w:t>Relatórios de Comercialização de Agrotóxicos</w:t>
      </w:r>
      <w:r w:rsidRPr="0003097C">
        <w:rPr>
          <w:rFonts w:ascii="Times New Roman" w:hAnsi="Times New Roman" w:cs="Times New Roman"/>
          <w:sz w:val="24"/>
          <w:szCs w:val="24"/>
          <w:shd w:val="clear" w:color="auto" w:fill="FFFFFF"/>
        </w:rPr>
        <w:t>. Disponível em: &lt;</w:t>
      </w:r>
      <w:r w:rsidRPr="0003097C">
        <w:rPr>
          <w:rStyle w:val="Forte"/>
          <w:rFonts w:ascii="Times New Roman" w:hAnsi="Times New Roman" w:cs="Times New Roman"/>
          <w:b w:val="0"/>
          <w:sz w:val="24"/>
          <w:szCs w:val="24"/>
          <w:shd w:val="clear" w:color="auto" w:fill="FFFFFF"/>
        </w:rPr>
        <w:t>https://www.ibama.gov.br/agrotoxicos/relatorios-de-comercializacao-de-agrotoxicos#historicodecomercializacao&gt;. Acesso out. 2018.</w:t>
      </w:r>
    </w:p>
    <w:p w14:paraId="3B38E1AE" w14:textId="77777777" w:rsidR="0003097C" w:rsidRPr="0003097C" w:rsidRDefault="0003097C" w:rsidP="0003097C">
      <w:pPr>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IBGE. </w:t>
      </w:r>
      <w:r w:rsidRPr="0003097C">
        <w:rPr>
          <w:rFonts w:ascii="Times New Roman" w:hAnsi="Times New Roman" w:cs="Times New Roman"/>
          <w:b/>
          <w:sz w:val="24"/>
          <w:szCs w:val="24"/>
        </w:rPr>
        <w:t>Censo Agropecuário 2006 e 2017</w:t>
      </w:r>
      <w:r w:rsidRPr="0003097C">
        <w:rPr>
          <w:rFonts w:ascii="Times New Roman" w:hAnsi="Times New Roman" w:cs="Times New Roman"/>
          <w:sz w:val="24"/>
          <w:szCs w:val="24"/>
        </w:rPr>
        <w:t>. Biblioteca IBGE. Disponível em &lt;http://www.ibge.gov.br&gt;. Vários acessos, 2020.</w:t>
      </w:r>
    </w:p>
    <w:p w14:paraId="1036A88E" w14:textId="77777777" w:rsidR="009C0F6E" w:rsidRDefault="009C0F6E" w:rsidP="009C0F6E">
      <w:pPr>
        <w:spacing w:before="120" w:after="120" w:line="240" w:lineRule="auto"/>
        <w:rPr>
          <w:rFonts w:ascii="Times New Roman" w:hAnsi="Times New Roman"/>
          <w:sz w:val="24"/>
          <w:szCs w:val="24"/>
        </w:rPr>
      </w:pPr>
      <w:r>
        <w:rPr>
          <w:rFonts w:ascii="Times New Roman" w:hAnsi="Times New Roman"/>
          <w:sz w:val="24"/>
          <w:szCs w:val="24"/>
        </w:rPr>
        <w:t>IBGE</w:t>
      </w:r>
      <w:r w:rsidRPr="0001443A">
        <w:rPr>
          <w:rFonts w:ascii="Times New Roman" w:hAnsi="Times New Roman"/>
          <w:sz w:val="24"/>
          <w:szCs w:val="24"/>
        </w:rPr>
        <w:t xml:space="preserve">. </w:t>
      </w:r>
      <w:r>
        <w:rPr>
          <w:rFonts w:ascii="Times New Roman" w:hAnsi="Times New Roman"/>
          <w:b/>
          <w:sz w:val="24"/>
          <w:szCs w:val="24"/>
        </w:rPr>
        <w:t>Produção Agrícola Municipal</w:t>
      </w:r>
      <w:r w:rsidRPr="0001443A">
        <w:rPr>
          <w:rFonts w:ascii="Times New Roman" w:hAnsi="Times New Roman"/>
          <w:sz w:val="24"/>
          <w:szCs w:val="24"/>
        </w:rPr>
        <w:t>. Disponível em: &lt;http://www.ibge.gov.br&gt;. Vários acessos</w:t>
      </w:r>
      <w:r>
        <w:rPr>
          <w:rFonts w:ascii="Times New Roman" w:hAnsi="Times New Roman"/>
          <w:sz w:val="24"/>
          <w:szCs w:val="24"/>
        </w:rPr>
        <w:t>, 2018.</w:t>
      </w:r>
    </w:p>
    <w:p w14:paraId="1BED08FC"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ICV. </w:t>
      </w:r>
      <w:r w:rsidRPr="0003097C">
        <w:rPr>
          <w:rFonts w:ascii="Times New Roman" w:hAnsi="Times New Roman" w:cs="Times New Roman"/>
          <w:b/>
          <w:sz w:val="24"/>
          <w:szCs w:val="24"/>
        </w:rPr>
        <w:t>Análise do desmatamento em Mato Grosso (</w:t>
      </w:r>
      <w:proofErr w:type="spellStart"/>
      <w:r w:rsidRPr="0003097C">
        <w:rPr>
          <w:rFonts w:ascii="Times New Roman" w:hAnsi="Times New Roman" w:cs="Times New Roman"/>
          <w:b/>
          <w:sz w:val="24"/>
          <w:szCs w:val="24"/>
        </w:rPr>
        <w:t>Prodes</w:t>
      </w:r>
      <w:proofErr w:type="spellEnd"/>
      <w:r w:rsidRPr="0003097C">
        <w:rPr>
          <w:rFonts w:ascii="Times New Roman" w:hAnsi="Times New Roman" w:cs="Times New Roman"/>
          <w:b/>
          <w:sz w:val="24"/>
          <w:szCs w:val="24"/>
        </w:rPr>
        <w:t>/2017)</w:t>
      </w:r>
      <w:r w:rsidRPr="0003097C">
        <w:rPr>
          <w:rFonts w:ascii="Times New Roman" w:hAnsi="Times New Roman" w:cs="Times New Roman"/>
          <w:sz w:val="24"/>
          <w:szCs w:val="24"/>
        </w:rPr>
        <w:t xml:space="preserve">. Cuiabá: Instituto Centro de Vida – ICV, 2017. </w:t>
      </w:r>
    </w:p>
    <w:p w14:paraId="6F7E6444" w14:textId="77777777" w:rsidR="0003097C" w:rsidRPr="0003097C" w:rsidRDefault="0003097C" w:rsidP="0003097C">
      <w:pPr>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INPE. Instituto Nacional de Pesquisas Espaciais. </w:t>
      </w:r>
      <w:r w:rsidRPr="0003097C">
        <w:rPr>
          <w:rFonts w:ascii="Times New Roman" w:hAnsi="Times New Roman" w:cs="Times New Roman"/>
          <w:b/>
          <w:sz w:val="24"/>
          <w:szCs w:val="24"/>
        </w:rPr>
        <w:t>PRODES</w:t>
      </w:r>
      <w:r w:rsidRPr="0003097C">
        <w:rPr>
          <w:rFonts w:ascii="Times New Roman" w:hAnsi="Times New Roman" w:cs="Times New Roman"/>
          <w:sz w:val="24"/>
          <w:szCs w:val="24"/>
        </w:rPr>
        <w:t>: Monitoramento da Floresta Amazônica Brasileira por Satélite. Disponível em: &lt;http://www.obt.inpe.br/ OBT/assuntos/programas/</w:t>
      </w:r>
      <w:proofErr w:type="spellStart"/>
      <w:r w:rsidRPr="0003097C">
        <w:rPr>
          <w:rFonts w:ascii="Times New Roman" w:hAnsi="Times New Roman" w:cs="Times New Roman"/>
          <w:sz w:val="24"/>
          <w:szCs w:val="24"/>
        </w:rPr>
        <w:t>amazonia</w:t>
      </w:r>
      <w:proofErr w:type="spellEnd"/>
      <w:r w:rsidRPr="0003097C">
        <w:rPr>
          <w:rFonts w:ascii="Times New Roman" w:hAnsi="Times New Roman" w:cs="Times New Roman"/>
          <w:sz w:val="24"/>
          <w:szCs w:val="24"/>
        </w:rPr>
        <w:t>/</w:t>
      </w:r>
      <w:proofErr w:type="spellStart"/>
      <w:r w:rsidRPr="0003097C">
        <w:rPr>
          <w:rFonts w:ascii="Times New Roman" w:hAnsi="Times New Roman" w:cs="Times New Roman"/>
          <w:sz w:val="24"/>
          <w:szCs w:val="24"/>
        </w:rPr>
        <w:t>prodes</w:t>
      </w:r>
      <w:proofErr w:type="spellEnd"/>
      <w:r w:rsidRPr="0003097C">
        <w:rPr>
          <w:rFonts w:ascii="Times New Roman" w:hAnsi="Times New Roman" w:cs="Times New Roman"/>
          <w:sz w:val="24"/>
          <w:szCs w:val="24"/>
        </w:rPr>
        <w:t xml:space="preserve"> &gt;. Vários acessos. 2018a.</w:t>
      </w:r>
    </w:p>
    <w:p w14:paraId="5ED971CC" w14:textId="77777777" w:rsidR="009F5A45" w:rsidRPr="0003097C" w:rsidRDefault="009F5A45" w:rsidP="009F5A45">
      <w:pPr>
        <w:shd w:val="clear" w:color="auto" w:fill="FFFFFF"/>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INPE. Instituto Nacional de Pesquisas Espaciais. </w:t>
      </w:r>
      <w:r w:rsidRPr="0003097C">
        <w:rPr>
          <w:rFonts w:ascii="Times New Roman" w:hAnsi="Times New Roman" w:cs="Times New Roman"/>
          <w:b/>
          <w:sz w:val="24"/>
          <w:szCs w:val="24"/>
        </w:rPr>
        <w:t>Monitoramento da Cobertura Vegetal da Amazônia Sul Americana</w:t>
      </w:r>
      <w:r w:rsidRPr="0003097C">
        <w:rPr>
          <w:rFonts w:ascii="Times New Roman" w:hAnsi="Times New Roman" w:cs="Times New Roman"/>
          <w:sz w:val="24"/>
          <w:szCs w:val="24"/>
        </w:rPr>
        <w:t>: Projeto PANAMAZÔNIA II. Disponível em: &lt;http://www.dsr.inpe.br/</w:t>
      </w:r>
      <w:proofErr w:type="spellStart"/>
      <w:r w:rsidRPr="0003097C">
        <w:rPr>
          <w:rFonts w:ascii="Times New Roman" w:hAnsi="Times New Roman" w:cs="Times New Roman"/>
          <w:sz w:val="24"/>
          <w:szCs w:val="24"/>
        </w:rPr>
        <w:t>laf</w:t>
      </w:r>
      <w:proofErr w:type="spellEnd"/>
      <w:r w:rsidRPr="0003097C">
        <w:rPr>
          <w:rFonts w:ascii="Times New Roman" w:hAnsi="Times New Roman" w:cs="Times New Roman"/>
          <w:sz w:val="24"/>
          <w:szCs w:val="24"/>
        </w:rPr>
        <w:t>/</w:t>
      </w:r>
      <w:proofErr w:type="spellStart"/>
      <w:r w:rsidRPr="0003097C">
        <w:rPr>
          <w:rFonts w:ascii="Times New Roman" w:hAnsi="Times New Roman" w:cs="Times New Roman"/>
          <w:sz w:val="24"/>
          <w:szCs w:val="24"/>
        </w:rPr>
        <w:t>panamazonia</w:t>
      </w:r>
      <w:proofErr w:type="spellEnd"/>
      <w:r w:rsidRPr="0003097C">
        <w:rPr>
          <w:rFonts w:ascii="Times New Roman" w:hAnsi="Times New Roman" w:cs="Times New Roman"/>
          <w:sz w:val="24"/>
          <w:szCs w:val="24"/>
        </w:rPr>
        <w:t>/index.html&gt;. Acesso nov. 2018b.</w:t>
      </w:r>
    </w:p>
    <w:p w14:paraId="56EF8AEE"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LIMA, </w:t>
      </w:r>
      <w:proofErr w:type="spellStart"/>
      <w:r w:rsidRPr="0003097C">
        <w:rPr>
          <w:rFonts w:ascii="Times New Roman" w:hAnsi="Times New Roman" w:cs="Times New Roman"/>
          <w:sz w:val="24"/>
          <w:szCs w:val="24"/>
        </w:rPr>
        <w:t>Francco</w:t>
      </w:r>
      <w:proofErr w:type="spellEnd"/>
      <w:r w:rsidRPr="0003097C">
        <w:rPr>
          <w:rFonts w:ascii="Times New Roman" w:hAnsi="Times New Roman" w:cs="Times New Roman"/>
          <w:sz w:val="24"/>
          <w:szCs w:val="24"/>
        </w:rPr>
        <w:t xml:space="preserve"> Antônio Neri de Souza e. </w:t>
      </w:r>
      <w:r w:rsidRPr="0003097C">
        <w:rPr>
          <w:rFonts w:ascii="Times New Roman" w:hAnsi="Times New Roman" w:cs="Times New Roman"/>
          <w:b/>
          <w:sz w:val="24"/>
          <w:szCs w:val="24"/>
        </w:rPr>
        <w:t xml:space="preserve">Saúde, ambiente e Contaminação hídrica por agrotóxicos na Terra Indígena </w:t>
      </w:r>
      <w:proofErr w:type="spellStart"/>
      <w:r w:rsidRPr="0003097C">
        <w:rPr>
          <w:rFonts w:ascii="Times New Roman" w:hAnsi="Times New Roman" w:cs="Times New Roman"/>
          <w:b/>
          <w:sz w:val="24"/>
          <w:szCs w:val="24"/>
        </w:rPr>
        <w:t>Marãiwatsédé</w:t>
      </w:r>
      <w:proofErr w:type="spellEnd"/>
      <w:r w:rsidRPr="0003097C">
        <w:rPr>
          <w:rFonts w:ascii="Times New Roman" w:hAnsi="Times New Roman" w:cs="Times New Roman"/>
          <w:b/>
          <w:sz w:val="24"/>
          <w:szCs w:val="24"/>
        </w:rPr>
        <w:t>, Mato Grosso</w:t>
      </w:r>
      <w:r w:rsidRPr="0003097C">
        <w:rPr>
          <w:rFonts w:ascii="Times New Roman" w:hAnsi="Times New Roman" w:cs="Times New Roman"/>
          <w:sz w:val="24"/>
          <w:szCs w:val="24"/>
        </w:rPr>
        <w:t>. Dissertação de Mestrado em Saúde Coletiva, Universidade Federal de Mato Grosso. Cuiabá: 2015.</w:t>
      </w:r>
    </w:p>
    <w:p w14:paraId="3EB1B4E9" w14:textId="77777777" w:rsidR="0003097C" w:rsidRPr="000D34C2" w:rsidRDefault="0003097C" w:rsidP="0003097C">
      <w:pPr>
        <w:autoSpaceDE w:val="0"/>
        <w:autoSpaceDN w:val="0"/>
        <w:adjustRightInd w:val="0"/>
        <w:spacing w:before="120" w:after="120" w:line="240" w:lineRule="auto"/>
        <w:rPr>
          <w:rFonts w:ascii="Times New Roman" w:hAnsi="Times New Roman" w:cs="Times New Roman"/>
          <w:sz w:val="24"/>
          <w:szCs w:val="24"/>
          <w:lang w:val="en-US"/>
        </w:rPr>
      </w:pPr>
      <w:r w:rsidRPr="0003097C">
        <w:rPr>
          <w:rFonts w:ascii="Times New Roman" w:hAnsi="Times New Roman" w:cs="Times New Roman"/>
          <w:sz w:val="24"/>
          <w:szCs w:val="24"/>
        </w:rPr>
        <w:t xml:space="preserve">MACEDO, Fernando Cézar de, MORAIS, </w:t>
      </w:r>
      <w:r w:rsidRPr="0003097C">
        <w:rPr>
          <w:rStyle w:val="nfase"/>
          <w:rFonts w:ascii="Times New Roman" w:hAnsi="Times New Roman" w:cs="Times New Roman"/>
          <w:i w:val="0"/>
          <w:sz w:val="24"/>
          <w:szCs w:val="24"/>
          <w:bdr w:val="none" w:sz="0" w:space="0" w:color="auto" w:frame="1"/>
          <w:shd w:val="clear" w:color="auto" w:fill="FFFFFF"/>
        </w:rPr>
        <w:t xml:space="preserve">José </w:t>
      </w:r>
      <w:proofErr w:type="spellStart"/>
      <w:r w:rsidRPr="0003097C">
        <w:rPr>
          <w:rStyle w:val="nfase"/>
          <w:rFonts w:ascii="Times New Roman" w:hAnsi="Times New Roman" w:cs="Times New Roman"/>
          <w:i w:val="0"/>
          <w:sz w:val="24"/>
          <w:szCs w:val="24"/>
          <w:bdr w:val="none" w:sz="0" w:space="0" w:color="auto" w:frame="1"/>
          <w:shd w:val="clear" w:color="auto" w:fill="FFFFFF"/>
        </w:rPr>
        <w:t>Micaelson</w:t>
      </w:r>
      <w:proofErr w:type="spellEnd"/>
      <w:r w:rsidRPr="0003097C">
        <w:rPr>
          <w:rStyle w:val="nfase"/>
          <w:rFonts w:ascii="Times New Roman" w:hAnsi="Times New Roman" w:cs="Times New Roman"/>
          <w:i w:val="0"/>
          <w:sz w:val="24"/>
          <w:szCs w:val="24"/>
          <w:bdr w:val="none" w:sz="0" w:space="0" w:color="auto" w:frame="1"/>
          <w:shd w:val="clear" w:color="auto" w:fill="FFFFFF"/>
        </w:rPr>
        <w:t xml:space="preserve"> Lacerda</w:t>
      </w:r>
      <w:r w:rsidRPr="0003097C">
        <w:rPr>
          <w:rFonts w:ascii="Times New Roman" w:hAnsi="Times New Roman" w:cs="Times New Roman"/>
          <w:sz w:val="24"/>
          <w:szCs w:val="24"/>
        </w:rPr>
        <w:t xml:space="preserve">. Inserção comercial externa e dinâmica territorial no Brasil: especialização regressiva e desconcentração produtiva </w:t>
      </w:r>
      <w:r w:rsidRPr="000D34C2">
        <w:rPr>
          <w:rFonts w:ascii="Times New Roman" w:hAnsi="Times New Roman" w:cs="Times New Roman"/>
          <w:sz w:val="24"/>
          <w:szCs w:val="24"/>
        </w:rPr>
        <w:t xml:space="preserve">regional. </w:t>
      </w:r>
      <w:r w:rsidRPr="000D34C2">
        <w:rPr>
          <w:rFonts w:ascii="Times New Roman" w:hAnsi="Times New Roman" w:cs="Times New Roman"/>
          <w:b/>
          <w:sz w:val="24"/>
          <w:szCs w:val="24"/>
          <w:lang w:val="en-US"/>
        </w:rPr>
        <w:t xml:space="preserve">Informe </w:t>
      </w:r>
      <w:proofErr w:type="spellStart"/>
      <w:r w:rsidRPr="000D34C2">
        <w:rPr>
          <w:rFonts w:ascii="Times New Roman" w:hAnsi="Times New Roman" w:cs="Times New Roman"/>
          <w:b/>
          <w:sz w:val="24"/>
          <w:szCs w:val="24"/>
          <w:lang w:val="en-US"/>
        </w:rPr>
        <w:t>Gepec</w:t>
      </w:r>
      <w:proofErr w:type="spellEnd"/>
      <w:r w:rsidRPr="000D34C2">
        <w:rPr>
          <w:rFonts w:ascii="Times New Roman" w:hAnsi="Times New Roman" w:cs="Times New Roman"/>
          <w:sz w:val="24"/>
          <w:szCs w:val="24"/>
          <w:lang w:val="en-US"/>
        </w:rPr>
        <w:t xml:space="preserve">, Toledo, v. 15, n. 1, p. 82-98, </w:t>
      </w:r>
      <w:proofErr w:type="spellStart"/>
      <w:proofErr w:type="gramStart"/>
      <w:r w:rsidRPr="000D34C2">
        <w:rPr>
          <w:rFonts w:ascii="Times New Roman" w:hAnsi="Times New Roman" w:cs="Times New Roman"/>
          <w:sz w:val="24"/>
          <w:szCs w:val="24"/>
          <w:lang w:val="en-US"/>
        </w:rPr>
        <w:t>jan.</w:t>
      </w:r>
      <w:proofErr w:type="spellEnd"/>
      <w:r w:rsidRPr="000D34C2">
        <w:rPr>
          <w:rFonts w:ascii="Times New Roman" w:hAnsi="Times New Roman" w:cs="Times New Roman"/>
          <w:sz w:val="24"/>
          <w:szCs w:val="24"/>
          <w:lang w:val="en-US"/>
        </w:rPr>
        <w:t>/</w:t>
      </w:r>
      <w:proofErr w:type="gramEnd"/>
      <w:r w:rsidRPr="000D34C2">
        <w:rPr>
          <w:rFonts w:ascii="Times New Roman" w:hAnsi="Times New Roman" w:cs="Times New Roman"/>
          <w:sz w:val="24"/>
          <w:szCs w:val="24"/>
          <w:lang w:val="en-US"/>
        </w:rPr>
        <w:t>jun. 2011</w:t>
      </w:r>
    </w:p>
    <w:p w14:paraId="16ACDA42" w14:textId="7F6F7FDF" w:rsidR="00DF1481" w:rsidRPr="000D34C2" w:rsidRDefault="00190468" w:rsidP="0003097C">
      <w:pPr>
        <w:tabs>
          <w:tab w:val="left" w:pos="3660"/>
        </w:tabs>
        <w:spacing w:before="120" w:after="120" w:line="240" w:lineRule="auto"/>
        <w:rPr>
          <w:rFonts w:ascii="Times New Roman" w:hAnsi="Times New Roman" w:cs="Times New Roman"/>
          <w:sz w:val="24"/>
          <w:szCs w:val="24"/>
          <w:shd w:val="clear" w:color="auto" w:fill="FFFFFF"/>
          <w:lang w:val="en-US"/>
        </w:rPr>
      </w:pPr>
      <w:r w:rsidRPr="000D34C2">
        <w:rPr>
          <w:rFonts w:ascii="Times New Roman" w:hAnsi="Times New Roman" w:cs="Times New Roman"/>
          <w:sz w:val="24"/>
          <w:szCs w:val="24"/>
          <w:shd w:val="clear" w:color="auto" w:fill="FFFFFF"/>
        </w:rPr>
        <w:t xml:space="preserve">MACEDO, Marcia N. et al. </w:t>
      </w:r>
      <w:proofErr w:type="spellStart"/>
      <w:r w:rsidRPr="000D34C2">
        <w:rPr>
          <w:rFonts w:ascii="Times New Roman" w:hAnsi="Times New Roman" w:cs="Times New Roman"/>
          <w:sz w:val="24"/>
          <w:szCs w:val="24"/>
          <w:shd w:val="clear" w:color="auto" w:fill="FFFFFF"/>
        </w:rPr>
        <w:t>Decoupling</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of</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deforestation</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and</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soy</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production</w:t>
      </w:r>
      <w:proofErr w:type="spellEnd"/>
      <w:r w:rsidRPr="000D34C2">
        <w:rPr>
          <w:rFonts w:ascii="Times New Roman" w:hAnsi="Times New Roman" w:cs="Times New Roman"/>
          <w:sz w:val="24"/>
          <w:szCs w:val="24"/>
          <w:shd w:val="clear" w:color="auto" w:fill="FFFFFF"/>
        </w:rPr>
        <w:t xml:space="preserve"> in </w:t>
      </w:r>
      <w:proofErr w:type="spellStart"/>
      <w:r w:rsidRPr="000D34C2">
        <w:rPr>
          <w:rFonts w:ascii="Times New Roman" w:hAnsi="Times New Roman" w:cs="Times New Roman"/>
          <w:sz w:val="24"/>
          <w:szCs w:val="24"/>
          <w:shd w:val="clear" w:color="auto" w:fill="FFFFFF"/>
        </w:rPr>
        <w:t>the</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southern</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Amazon</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during</w:t>
      </w:r>
      <w:proofErr w:type="spellEnd"/>
      <w:r w:rsidRPr="000D34C2">
        <w:rPr>
          <w:rFonts w:ascii="Times New Roman" w:hAnsi="Times New Roman" w:cs="Times New Roman"/>
          <w:sz w:val="24"/>
          <w:szCs w:val="24"/>
          <w:shd w:val="clear" w:color="auto" w:fill="FFFFFF"/>
        </w:rPr>
        <w:t xml:space="preserve"> </w:t>
      </w:r>
      <w:proofErr w:type="spellStart"/>
      <w:r w:rsidRPr="000D34C2">
        <w:rPr>
          <w:rFonts w:ascii="Times New Roman" w:hAnsi="Times New Roman" w:cs="Times New Roman"/>
          <w:sz w:val="24"/>
          <w:szCs w:val="24"/>
          <w:shd w:val="clear" w:color="auto" w:fill="FFFFFF"/>
        </w:rPr>
        <w:t>the</w:t>
      </w:r>
      <w:proofErr w:type="spellEnd"/>
      <w:r w:rsidRPr="000D34C2">
        <w:rPr>
          <w:rFonts w:ascii="Times New Roman" w:hAnsi="Times New Roman" w:cs="Times New Roman"/>
          <w:sz w:val="24"/>
          <w:szCs w:val="24"/>
          <w:shd w:val="clear" w:color="auto" w:fill="FFFFFF"/>
        </w:rPr>
        <w:t xml:space="preserve"> late 2000s. </w:t>
      </w:r>
      <w:proofErr w:type="spellStart"/>
      <w:r w:rsidRPr="000D34C2">
        <w:rPr>
          <w:rFonts w:ascii="Times New Roman" w:hAnsi="Times New Roman" w:cs="Times New Roman"/>
          <w:b/>
          <w:bCs/>
          <w:sz w:val="24"/>
          <w:szCs w:val="24"/>
          <w:shd w:val="clear" w:color="auto" w:fill="FFFFFF"/>
        </w:rPr>
        <w:t>Proceedings</w:t>
      </w:r>
      <w:proofErr w:type="spellEnd"/>
      <w:r w:rsidRPr="000D34C2">
        <w:rPr>
          <w:rFonts w:ascii="Times New Roman" w:hAnsi="Times New Roman" w:cs="Times New Roman"/>
          <w:b/>
          <w:bCs/>
          <w:sz w:val="24"/>
          <w:szCs w:val="24"/>
          <w:shd w:val="clear" w:color="auto" w:fill="FFFFFF"/>
        </w:rPr>
        <w:t xml:space="preserve"> </w:t>
      </w:r>
      <w:proofErr w:type="spellStart"/>
      <w:r w:rsidRPr="000D34C2">
        <w:rPr>
          <w:rFonts w:ascii="Times New Roman" w:hAnsi="Times New Roman" w:cs="Times New Roman"/>
          <w:b/>
          <w:bCs/>
          <w:sz w:val="24"/>
          <w:szCs w:val="24"/>
          <w:shd w:val="clear" w:color="auto" w:fill="FFFFFF"/>
        </w:rPr>
        <w:t>of</w:t>
      </w:r>
      <w:proofErr w:type="spellEnd"/>
      <w:r w:rsidRPr="000D34C2">
        <w:rPr>
          <w:rFonts w:ascii="Times New Roman" w:hAnsi="Times New Roman" w:cs="Times New Roman"/>
          <w:b/>
          <w:bCs/>
          <w:sz w:val="24"/>
          <w:szCs w:val="24"/>
          <w:shd w:val="clear" w:color="auto" w:fill="FFFFFF"/>
        </w:rPr>
        <w:t xml:space="preserve"> </w:t>
      </w:r>
      <w:proofErr w:type="spellStart"/>
      <w:r w:rsidRPr="000D34C2">
        <w:rPr>
          <w:rFonts w:ascii="Times New Roman" w:hAnsi="Times New Roman" w:cs="Times New Roman"/>
          <w:b/>
          <w:bCs/>
          <w:sz w:val="24"/>
          <w:szCs w:val="24"/>
          <w:shd w:val="clear" w:color="auto" w:fill="FFFFFF"/>
        </w:rPr>
        <w:t>the</w:t>
      </w:r>
      <w:proofErr w:type="spellEnd"/>
      <w:r w:rsidRPr="000D34C2">
        <w:rPr>
          <w:rFonts w:ascii="Times New Roman" w:hAnsi="Times New Roman" w:cs="Times New Roman"/>
          <w:b/>
          <w:bCs/>
          <w:sz w:val="24"/>
          <w:szCs w:val="24"/>
          <w:shd w:val="clear" w:color="auto" w:fill="FFFFFF"/>
        </w:rPr>
        <w:t xml:space="preserve"> </w:t>
      </w:r>
      <w:proofErr w:type="spellStart"/>
      <w:r w:rsidRPr="000D34C2">
        <w:rPr>
          <w:rFonts w:ascii="Times New Roman" w:hAnsi="Times New Roman" w:cs="Times New Roman"/>
          <w:b/>
          <w:bCs/>
          <w:sz w:val="24"/>
          <w:szCs w:val="24"/>
          <w:shd w:val="clear" w:color="auto" w:fill="FFFFFF"/>
        </w:rPr>
        <w:t>National</w:t>
      </w:r>
      <w:proofErr w:type="spellEnd"/>
      <w:r w:rsidRPr="000D34C2">
        <w:rPr>
          <w:rFonts w:ascii="Times New Roman" w:hAnsi="Times New Roman" w:cs="Times New Roman"/>
          <w:b/>
          <w:bCs/>
          <w:sz w:val="24"/>
          <w:szCs w:val="24"/>
          <w:shd w:val="clear" w:color="auto" w:fill="FFFFFF"/>
        </w:rPr>
        <w:t xml:space="preserve"> </w:t>
      </w:r>
      <w:proofErr w:type="spellStart"/>
      <w:r w:rsidRPr="000D34C2">
        <w:rPr>
          <w:rFonts w:ascii="Times New Roman" w:hAnsi="Times New Roman" w:cs="Times New Roman"/>
          <w:b/>
          <w:bCs/>
          <w:sz w:val="24"/>
          <w:szCs w:val="24"/>
          <w:shd w:val="clear" w:color="auto" w:fill="FFFFFF"/>
        </w:rPr>
        <w:t>Academy</w:t>
      </w:r>
      <w:proofErr w:type="spellEnd"/>
      <w:r w:rsidRPr="000D34C2">
        <w:rPr>
          <w:rFonts w:ascii="Times New Roman" w:hAnsi="Times New Roman" w:cs="Times New Roman"/>
          <w:b/>
          <w:bCs/>
          <w:sz w:val="24"/>
          <w:szCs w:val="24"/>
          <w:shd w:val="clear" w:color="auto" w:fill="FFFFFF"/>
        </w:rPr>
        <w:t xml:space="preserve"> </w:t>
      </w:r>
      <w:proofErr w:type="spellStart"/>
      <w:r w:rsidRPr="000D34C2">
        <w:rPr>
          <w:rFonts w:ascii="Times New Roman" w:hAnsi="Times New Roman" w:cs="Times New Roman"/>
          <w:b/>
          <w:bCs/>
          <w:sz w:val="24"/>
          <w:szCs w:val="24"/>
          <w:shd w:val="clear" w:color="auto" w:fill="FFFFFF"/>
        </w:rPr>
        <w:t>of</w:t>
      </w:r>
      <w:proofErr w:type="spellEnd"/>
      <w:r w:rsidRPr="000D34C2">
        <w:rPr>
          <w:rFonts w:ascii="Times New Roman" w:hAnsi="Times New Roman" w:cs="Times New Roman"/>
          <w:b/>
          <w:bCs/>
          <w:sz w:val="24"/>
          <w:szCs w:val="24"/>
          <w:shd w:val="clear" w:color="auto" w:fill="FFFFFF"/>
        </w:rPr>
        <w:t xml:space="preserve"> </w:t>
      </w:r>
      <w:proofErr w:type="spellStart"/>
      <w:r w:rsidRPr="000D34C2">
        <w:rPr>
          <w:rFonts w:ascii="Times New Roman" w:hAnsi="Times New Roman" w:cs="Times New Roman"/>
          <w:b/>
          <w:bCs/>
          <w:sz w:val="24"/>
          <w:szCs w:val="24"/>
          <w:shd w:val="clear" w:color="auto" w:fill="FFFFFF"/>
        </w:rPr>
        <w:t>Sciences</w:t>
      </w:r>
      <w:proofErr w:type="spellEnd"/>
      <w:r w:rsidRPr="000D34C2">
        <w:rPr>
          <w:rFonts w:ascii="Times New Roman" w:hAnsi="Times New Roman" w:cs="Times New Roman"/>
          <w:sz w:val="24"/>
          <w:szCs w:val="24"/>
          <w:shd w:val="clear" w:color="auto" w:fill="FFFFFF"/>
        </w:rPr>
        <w:t>, v. 109, n. 4, p. 1341-1346, 2012.</w:t>
      </w:r>
      <w:r w:rsidR="00DF1481" w:rsidRPr="000D34C2">
        <w:rPr>
          <w:rFonts w:ascii="Times New Roman" w:hAnsi="Times New Roman" w:cs="Times New Roman"/>
          <w:sz w:val="24"/>
          <w:szCs w:val="24"/>
          <w:shd w:val="clear" w:color="auto" w:fill="FFFFFF"/>
          <w:lang w:val="en-US"/>
        </w:rPr>
        <w:t xml:space="preserve"> </w:t>
      </w:r>
    </w:p>
    <w:p w14:paraId="4276306D" w14:textId="51286B65" w:rsidR="0003097C" w:rsidRPr="0003097C" w:rsidRDefault="0003097C" w:rsidP="0003097C">
      <w:pPr>
        <w:tabs>
          <w:tab w:val="left" w:pos="3660"/>
        </w:tabs>
        <w:spacing w:before="120" w:after="120" w:line="240" w:lineRule="auto"/>
        <w:rPr>
          <w:rFonts w:ascii="Times New Roman" w:hAnsi="Times New Roman" w:cs="Times New Roman"/>
          <w:color w:val="222222"/>
          <w:sz w:val="24"/>
          <w:szCs w:val="24"/>
          <w:shd w:val="clear" w:color="auto" w:fill="FFFFFF"/>
        </w:rPr>
      </w:pPr>
      <w:r w:rsidRPr="000D34C2">
        <w:rPr>
          <w:rFonts w:ascii="Times New Roman" w:hAnsi="Times New Roman" w:cs="Times New Roman"/>
          <w:sz w:val="24"/>
          <w:szCs w:val="24"/>
          <w:shd w:val="clear" w:color="auto" w:fill="FFFFFF"/>
          <w:lang w:val="en-US"/>
        </w:rPr>
        <w:t xml:space="preserve">MATTEI, </w:t>
      </w:r>
      <w:proofErr w:type="spellStart"/>
      <w:r w:rsidRPr="000D34C2">
        <w:rPr>
          <w:rFonts w:ascii="Times New Roman" w:hAnsi="Times New Roman" w:cs="Times New Roman"/>
          <w:sz w:val="24"/>
          <w:szCs w:val="24"/>
          <w:shd w:val="clear" w:color="auto" w:fill="FFFFFF"/>
          <w:lang w:val="en-US"/>
        </w:rPr>
        <w:t>Lauro</w:t>
      </w:r>
      <w:proofErr w:type="spellEnd"/>
      <w:r w:rsidRPr="000D34C2">
        <w:rPr>
          <w:rFonts w:ascii="Times New Roman" w:hAnsi="Times New Roman" w:cs="Times New Roman"/>
          <w:sz w:val="24"/>
          <w:szCs w:val="24"/>
          <w:shd w:val="clear" w:color="auto" w:fill="FFFFFF"/>
          <w:lang w:val="en-US"/>
        </w:rPr>
        <w:t xml:space="preserve">. </w:t>
      </w:r>
      <w:r w:rsidRPr="000D34C2">
        <w:rPr>
          <w:rFonts w:ascii="Times New Roman" w:hAnsi="Times New Roman" w:cs="Times New Roman"/>
          <w:sz w:val="24"/>
          <w:szCs w:val="24"/>
          <w:shd w:val="clear" w:color="auto" w:fill="FFFFFF"/>
        </w:rPr>
        <w:t xml:space="preserve">Considerações acerca de teses recentes sobre o mundo rural brasileiro. </w:t>
      </w:r>
      <w:r w:rsidRPr="0003097C">
        <w:rPr>
          <w:rFonts w:ascii="Times New Roman" w:hAnsi="Times New Roman" w:cs="Times New Roman"/>
          <w:b/>
          <w:bCs/>
          <w:color w:val="222222"/>
          <w:sz w:val="24"/>
          <w:szCs w:val="24"/>
          <w:shd w:val="clear" w:color="auto" w:fill="FFFFFF"/>
        </w:rPr>
        <w:t>Revista de economia e sociologia rural</w:t>
      </w:r>
      <w:r w:rsidRPr="0003097C">
        <w:rPr>
          <w:rFonts w:ascii="Times New Roman" w:hAnsi="Times New Roman" w:cs="Times New Roman"/>
          <w:color w:val="222222"/>
          <w:sz w:val="24"/>
          <w:szCs w:val="24"/>
          <w:shd w:val="clear" w:color="auto" w:fill="FFFFFF"/>
        </w:rPr>
        <w:t>, v. 52, p. 105-124, 2014.</w:t>
      </w:r>
    </w:p>
    <w:p w14:paraId="4B2CA103" w14:textId="77777777" w:rsidR="0003097C" w:rsidRPr="0003097C" w:rsidRDefault="0003097C" w:rsidP="0003097C">
      <w:pPr>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MENDES, Judas Tadeu Grassi. </w:t>
      </w:r>
      <w:r w:rsidRPr="0003097C">
        <w:rPr>
          <w:rFonts w:ascii="Times New Roman" w:hAnsi="Times New Roman" w:cs="Times New Roman"/>
          <w:b/>
          <w:sz w:val="24"/>
          <w:szCs w:val="24"/>
        </w:rPr>
        <w:t>Agronegócio: Uma abordagem econômica</w:t>
      </w:r>
      <w:r w:rsidRPr="0003097C">
        <w:rPr>
          <w:rFonts w:ascii="Times New Roman" w:hAnsi="Times New Roman" w:cs="Times New Roman"/>
          <w:sz w:val="24"/>
          <w:szCs w:val="24"/>
        </w:rPr>
        <w:t xml:space="preserve">. Ed Pearson </w:t>
      </w:r>
      <w:proofErr w:type="spellStart"/>
      <w:r w:rsidRPr="0003097C">
        <w:rPr>
          <w:rFonts w:ascii="Times New Roman" w:hAnsi="Times New Roman" w:cs="Times New Roman"/>
          <w:sz w:val="24"/>
          <w:szCs w:val="24"/>
        </w:rPr>
        <w:t>Pretice</w:t>
      </w:r>
      <w:proofErr w:type="spellEnd"/>
      <w:r w:rsidRPr="0003097C">
        <w:rPr>
          <w:rFonts w:ascii="Times New Roman" w:hAnsi="Times New Roman" w:cs="Times New Roman"/>
          <w:sz w:val="24"/>
          <w:szCs w:val="24"/>
        </w:rPr>
        <w:t xml:space="preserve"> Hall. 2007.</w:t>
      </w:r>
    </w:p>
    <w:p w14:paraId="0A29BAA6" w14:textId="0655243B"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MOREIRA </w:t>
      </w:r>
      <w:proofErr w:type="spellStart"/>
      <w:r w:rsidR="00657C0D" w:rsidRPr="00657C0D">
        <w:rPr>
          <w:rFonts w:ascii="Times New Roman" w:hAnsi="Times New Roman" w:cs="Times New Roman"/>
          <w:sz w:val="24"/>
          <w:szCs w:val="24"/>
        </w:rPr>
        <w:t>Josino</w:t>
      </w:r>
      <w:proofErr w:type="spellEnd"/>
      <w:r w:rsidR="00657C0D" w:rsidRPr="00657C0D">
        <w:rPr>
          <w:rFonts w:ascii="Times New Roman" w:hAnsi="Times New Roman" w:cs="Times New Roman"/>
          <w:sz w:val="24"/>
          <w:szCs w:val="24"/>
        </w:rPr>
        <w:t xml:space="preserve"> Costa</w:t>
      </w:r>
      <w:r w:rsidRPr="0003097C">
        <w:rPr>
          <w:rFonts w:ascii="Times New Roman" w:hAnsi="Times New Roman" w:cs="Times New Roman"/>
          <w:sz w:val="24"/>
          <w:szCs w:val="24"/>
        </w:rPr>
        <w:t xml:space="preserve">, </w:t>
      </w:r>
      <w:r w:rsidRPr="00657C0D">
        <w:rPr>
          <w:rFonts w:ascii="Times New Roman" w:hAnsi="Times New Roman" w:cs="Times New Roman"/>
          <w:i/>
          <w:iCs/>
          <w:sz w:val="24"/>
          <w:szCs w:val="24"/>
        </w:rPr>
        <w:t>et. al.</w:t>
      </w:r>
      <w:r w:rsidRPr="0003097C">
        <w:rPr>
          <w:rFonts w:ascii="Times New Roman" w:hAnsi="Times New Roman" w:cs="Times New Roman"/>
          <w:sz w:val="24"/>
          <w:szCs w:val="24"/>
        </w:rPr>
        <w:t xml:space="preserve"> Contaminação de águas superficiais e de chuva por agrotóxicos em uma região do estado do Mato Grosso. </w:t>
      </w:r>
      <w:hyperlink r:id="rId16" w:history="1">
        <w:r w:rsidRPr="0003097C">
          <w:rPr>
            <w:rFonts w:ascii="Times New Roman" w:hAnsi="Times New Roman" w:cs="Times New Roman"/>
            <w:b/>
            <w:sz w:val="24"/>
            <w:szCs w:val="24"/>
          </w:rPr>
          <w:t>Ciência &amp; Saúde Coletiva</w:t>
        </w:r>
        <w:r w:rsidRPr="0003097C">
          <w:rPr>
            <w:rFonts w:ascii="Times New Roman" w:hAnsi="Times New Roman" w:cs="Times New Roman"/>
            <w:sz w:val="24"/>
            <w:szCs w:val="24"/>
          </w:rPr>
          <w:t>, Vol. 17, N.º 6, 2012</w:t>
        </w:r>
      </w:hyperlink>
      <w:r w:rsidRPr="0003097C">
        <w:rPr>
          <w:rFonts w:ascii="Times New Roman" w:hAnsi="Times New Roman" w:cs="Times New Roman"/>
          <w:bCs/>
          <w:sz w:val="24"/>
          <w:szCs w:val="24"/>
        </w:rPr>
        <w:t xml:space="preserve">. p. </w:t>
      </w:r>
      <w:r w:rsidRPr="0003097C">
        <w:rPr>
          <w:rFonts w:ascii="Times New Roman" w:hAnsi="Times New Roman" w:cs="Times New Roman"/>
          <w:sz w:val="24"/>
          <w:szCs w:val="24"/>
        </w:rPr>
        <w:t>1557- 1568.</w:t>
      </w:r>
    </w:p>
    <w:p w14:paraId="7DEA1B83"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PALMA, Danielly Cristina de Andrade. </w:t>
      </w:r>
      <w:r w:rsidRPr="0003097C">
        <w:rPr>
          <w:rFonts w:ascii="Times New Roman" w:hAnsi="Times New Roman" w:cs="Times New Roman"/>
          <w:b/>
          <w:sz w:val="24"/>
          <w:szCs w:val="24"/>
        </w:rPr>
        <w:t>Agrotóxicos em leite humano de mães residentes em Lucas do Rio Verde – MT</w:t>
      </w:r>
      <w:r w:rsidRPr="0003097C">
        <w:rPr>
          <w:rFonts w:ascii="Times New Roman" w:hAnsi="Times New Roman" w:cs="Times New Roman"/>
          <w:sz w:val="24"/>
          <w:szCs w:val="24"/>
        </w:rPr>
        <w:t>. Dissertação de Mestrado, Universidade Federal de Mato Grosso, Instituto de Saúde Coletiva, Programa de Pós-Graduação em Saúde Coletiva, Cuiabá, 2011.</w:t>
      </w:r>
    </w:p>
    <w:p w14:paraId="192E6D0C"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PEREIRA, Moisés Silva. </w:t>
      </w:r>
      <w:r w:rsidRPr="0003097C">
        <w:rPr>
          <w:rFonts w:ascii="Times New Roman" w:hAnsi="Times New Roman" w:cs="Times New Roman"/>
          <w:b/>
          <w:sz w:val="24"/>
          <w:szCs w:val="24"/>
        </w:rPr>
        <w:t>Geografia Médica/Saúde e Agronegócio</w:t>
      </w:r>
      <w:r w:rsidRPr="0003097C">
        <w:rPr>
          <w:rFonts w:ascii="Times New Roman" w:hAnsi="Times New Roman" w:cs="Times New Roman"/>
          <w:sz w:val="24"/>
          <w:szCs w:val="24"/>
        </w:rPr>
        <w:t>: Urbanização e Crescimento Econômico e a Expansão de Doenças no Estado de Mato Grosso (1980/2015). Dissertação (mestrado) – Universidade Federal de Mato Grosso, Instituto de Ciências Humanas e Sociais, Programa de Pós-Graduação em Geografia, Rondonópolis, 2016.</w:t>
      </w:r>
    </w:p>
    <w:p w14:paraId="251A33F6" w14:textId="5B9AD979"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lastRenderedPageBreak/>
        <w:t xml:space="preserve">PETROLI, Viviane. Produtor de Poconé registra produtividade de 100,41 </w:t>
      </w:r>
      <w:proofErr w:type="spellStart"/>
      <w:r w:rsidRPr="0003097C">
        <w:rPr>
          <w:rFonts w:ascii="Times New Roman" w:hAnsi="Times New Roman" w:cs="Times New Roman"/>
          <w:sz w:val="24"/>
          <w:szCs w:val="24"/>
        </w:rPr>
        <w:t>sc</w:t>
      </w:r>
      <w:proofErr w:type="spellEnd"/>
      <w:r w:rsidRPr="0003097C">
        <w:rPr>
          <w:rFonts w:ascii="Times New Roman" w:hAnsi="Times New Roman" w:cs="Times New Roman"/>
          <w:sz w:val="24"/>
          <w:szCs w:val="24"/>
        </w:rPr>
        <w:t>/h</w:t>
      </w:r>
      <w:r w:rsidR="008E4308">
        <w:rPr>
          <w:rFonts w:ascii="Times New Roman" w:hAnsi="Times New Roman" w:cs="Times New Roman"/>
          <w:sz w:val="24"/>
          <w:szCs w:val="24"/>
        </w:rPr>
        <w:t>a</w:t>
      </w:r>
      <w:r w:rsidRPr="0003097C">
        <w:rPr>
          <w:rFonts w:ascii="Times New Roman" w:hAnsi="Times New Roman" w:cs="Times New Roman"/>
          <w:sz w:val="24"/>
          <w:szCs w:val="24"/>
        </w:rPr>
        <w:t xml:space="preserve"> e vence o CESB estadual. </w:t>
      </w:r>
      <w:r w:rsidRPr="0003097C">
        <w:rPr>
          <w:rFonts w:ascii="Times New Roman" w:hAnsi="Times New Roman" w:cs="Times New Roman"/>
          <w:b/>
          <w:sz w:val="24"/>
          <w:szCs w:val="24"/>
        </w:rPr>
        <w:t>Mato Grosso Agro.com</w:t>
      </w:r>
      <w:r w:rsidRPr="0003097C">
        <w:rPr>
          <w:rFonts w:ascii="Times New Roman" w:hAnsi="Times New Roman" w:cs="Times New Roman"/>
          <w:sz w:val="24"/>
          <w:szCs w:val="24"/>
        </w:rPr>
        <w:t>. Disponível em: &lt;http://www.matogrossoagro.com. br/agricultura/produtor-de-pocone-registra-produtividade-de-10041-scha-e-vence-o-cesb-estadual/1907 &gt;. Acesso nov. 2018.</w:t>
      </w:r>
    </w:p>
    <w:p w14:paraId="79482C98" w14:textId="77777777" w:rsidR="0003097C" w:rsidRPr="0003097C" w:rsidRDefault="0003097C" w:rsidP="0003097C">
      <w:pPr>
        <w:widowControl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RAMOS, Pedro. </w:t>
      </w:r>
      <w:r w:rsidRPr="0003097C">
        <w:rPr>
          <w:rFonts w:ascii="Times New Roman" w:hAnsi="Times New Roman" w:cs="Times New Roman"/>
          <w:b/>
          <w:sz w:val="24"/>
          <w:szCs w:val="24"/>
        </w:rPr>
        <w:t>A Questão Agrária e a Evolução da Agropecuária no Brasil: A reforma ausente e a volta ao passado no subdesenvolvimento industrializado</w:t>
      </w:r>
      <w:r w:rsidRPr="0003097C">
        <w:rPr>
          <w:rFonts w:ascii="Times New Roman" w:hAnsi="Times New Roman" w:cs="Times New Roman"/>
          <w:sz w:val="24"/>
          <w:szCs w:val="24"/>
        </w:rPr>
        <w:t>. Tese de Livre Docente IE/UNICAMP. Campinas: 2015.</w:t>
      </w:r>
    </w:p>
    <w:p w14:paraId="60E3C751" w14:textId="77777777" w:rsidR="0003097C" w:rsidRPr="0003097C" w:rsidRDefault="0003097C" w:rsidP="0003097C">
      <w:pPr>
        <w:autoSpaceDE w:val="0"/>
        <w:autoSpaceDN w:val="0"/>
        <w:adjustRightInd w:val="0"/>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RAMOS, Pedro. Agricultura e Sub(desenvolvimento): Aspectos Teóricos e Elementos para uma Reinterpretação do Caso Brasileiro. </w:t>
      </w:r>
      <w:r w:rsidRPr="0003097C">
        <w:rPr>
          <w:rFonts w:ascii="Times New Roman" w:hAnsi="Times New Roman" w:cs="Times New Roman"/>
          <w:b/>
          <w:sz w:val="24"/>
          <w:szCs w:val="24"/>
        </w:rPr>
        <w:t>Revista da Associação Brasileira de Reforma Agrária – ABRA.</w:t>
      </w:r>
      <w:r w:rsidRPr="0003097C">
        <w:rPr>
          <w:rFonts w:ascii="Times New Roman" w:hAnsi="Times New Roman" w:cs="Times New Roman"/>
          <w:sz w:val="24"/>
          <w:szCs w:val="24"/>
        </w:rPr>
        <w:t xml:space="preserve"> Volume 28, n° 1, 2, 3 jan./dez. 1998, Volume 29, n° 1 jan./ago. 1999, p. 77-96.</w:t>
      </w:r>
    </w:p>
    <w:p w14:paraId="1D625142" w14:textId="77777777" w:rsidR="0003097C" w:rsidRPr="0003097C" w:rsidRDefault="0003097C" w:rsidP="0003097C">
      <w:pPr>
        <w:spacing w:before="120" w:after="120" w:line="240" w:lineRule="auto"/>
        <w:rPr>
          <w:rFonts w:ascii="Times New Roman" w:hAnsi="Times New Roman" w:cs="Times New Roman"/>
          <w:sz w:val="24"/>
          <w:szCs w:val="24"/>
        </w:rPr>
      </w:pPr>
      <w:r w:rsidRPr="0003097C">
        <w:rPr>
          <w:rFonts w:ascii="Times New Roman" w:hAnsi="Times New Roman" w:cs="Times New Roman"/>
          <w:sz w:val="24"/>
          <w:szCs w:val="24"/>
        </w:rPr>
        <w:t xml:space="preserve">RORIZ, Pedro Augusto Costa; FEARNSIDE, Philip Martin. A construção do Código Florestal Brasileiro e as diferentes perspectivas para a proteção das florestas. </w:t>
      </w:r>
      <w:r w:rsidRPr="0003097C">
        <w:rPr>
          <w:rFonts w:ascii="Times New Roman" w:hAnsi="Times New Roman" w:cs="Times New Roman"/>
          <w:b/>
          <w:sz w:val="24"/>
          <w:szCs w:val="24"/>
        </w:rPr>
        <w:t>Novos Cadernos NAEA</w:t>
      </w:r>
      <w:r w:rsidRPr="0003097C">
        <w:rPr>
          <w:rFonts w:ascii="Times New Roman" w:hAnsi="Times New Roman" w:cs="Times New Roman"/>
          <w:sz w:val="24"/>
          <w:szCs w:val="24"/>
        </w:rPr>
        <w:t xml:space="preserve">, v. 18, n. 2, </w:t>
      </w:r>
      <w:proofErr w:type="spellStart"/>
      <w:r w:rsidRPr="0003097C">
        <w:rPr>
          <w:rFonts w:ascii="Times New Roman" w:hAnsi="Times New Roman" w:cs="Times New Roman"/>
          <w:sz w:val="24"/>
          <w:szCs w:val="24"/>
        </w:rPr>
        <w:t>jun</w:t>
      </w:r>
      <w:proofErr w:type="spellEnd"/>
      <w:r w:rsidRPr="0003097C">
        <w:rPr>
          <w:rFonts w:ascii="Times New Roman" w:hAnsi="Times New Roman" w:cs="Times New Roman"/>
          <w:sz w:val="24"/>
          <w:szCs w:val="24"/>
        </w:rPr>
        <w:t>/set 2015, p. 51-68.</w:t>
      </w:r>
    </w:p>
    <w:p w14:paraId="5FD41ADB" w14:textId="77777777" w:rsidR="0003097C" w:rsidRPr="0003097C" w:rsidRDefault="0003097C" w:rsidP="0003097C">
      <w:pPr>
        <w:tabs>
          <w:tab w:val="left" w:pos="3060"/>
        </w:tabs>
        <w:spacing w:before="120" w:after="120" w:line="240" w:lineRule="auto"/>
        <w:rPr>
          <w:rFonts w:ascii="Times New Roman" w:eastAsia="Times New Roman" w:hAnsi="Times New Roman" w:cs="Times New Roman"/>
          <w:sz w:val="24"/>
          <w:szCs w:val="24"/>
        </w:rPr>
      </w:pPr>
      <w:r w:rsidRPr="0003097C">
        <w:rPr>
          <w:rFonts w:ascii="Times New Roman" w:hAnsi="Times New Roman" w:cs="Times New Roman"/>
          <w:sz w:val="24"/>
          <w:szCs w:val="24"/>
        </w:rPr>
        <w:t>SAUER, Sérgio. Terra no século XXI: desafios e perspectivas da questão agrária. Retratos de Assentamentos, Araraquara, v. 19, n. 2, p. 69-97, 2016.</w:t>
      </w:r>
    </w:p>
    <w:p w14:paraId="67172124" w14:textId="3903076C" w:rsidR="0003097C" w:rsidRDefault="0003097C" w:rsidP="0003097C">
      <w:pPr>
        <w:shd w:val="clear" w:color="auto" w:fill="FFFFFF"/>
        <w:spacing w:before="120" w:after="120" w:line="240" w:lineRule="auto"/>
        <w:rPr>
          <w:rFonts w:ascii="Times New Roman" w:hAnsi="Times New Roman" w:cs="Times New Roman"/>
          <w:sz w:val="24"/>
          <w:szCs w:val="24"/>
          <w:shd w:val="clear" w:color="auto" w:fill="FFFFFF"/>
        </w:rPr>
      </w:pPr>
      <w:r w:rsidRPr="0003097C">
        <w:rPr>
          <w:rFonts w:ascii="Times New Roman" w:hAnsi="Times New Roman" w:cs="Times New Roman"/>
          <w:sz w:val="24"/>
          <w:szCs w:val="24"/>
        </w:rPr>
        <w:t xml:space="preserve">SINDIVEG. Sindicato Nacional da Indústria de Produtos para Defesa Vegetal. </w:t>
      </w:r>
      <w:r w:rsidRPr="0003097C">
        <w:rPr>
          <w:rFonts w:ascii="Times New Roman" w:eastAsia="Times New Roman" w:hAnsi="Times New Roman" w:cs="Times New Roman"/>
          <w:b/>
          <w:sz w:val="24"/>
          <w:szCs w:val="24"/>
          <w:lang w:val="pt-PT" w:eastAsia="pt-PT"/>
        </w:rPr>
        <w:t>Balanço 2015: Setor de agroquímicos confirma queda de vendas</w:t>
      </w:r>
      <w:r w:rsidRPr="0003097C">
        <w:rPr>
          <w:rFonts w:ascii="Times New Roman" w:eastAsia="Times New Roman" w:hAnsi="Times New Roman" w:cs="Times New Roman"/>
          <w:sz w:val="24"/>
          <w:szCs w:val="24"/>
          <w:lang w:val="pt-PT" w:eastAsia="pt-PT"/>
        </w:rPr>
        <w:t xml:space="preserve">. São Paulo: 2016. </w:t>
      </w:r>
      <w:r w:rsidRPr="0003097C">
        <w:rPr>
          <w:rFonts w:ascii="Times New Roman" w:hAnsi="Times New Roman" w:cs="Times New Roman"/>
          <w:sz w:val="24"/>
          <w:szCs w:val="24"/>
          <w:shd w:val="clear" w:color="auto" w:fill="FFFFFF"/>
        </w:rPr>
        <w:t>Disponível em &lt; http://sindiveg.org.br/balanco-2015-setor-de-agroquimicos-confirma-queda-de-vendas/&gt;. Acesso em: ago., 2018.</w:t>
      </w:r>
    </w:p>
    <w:p w14:paraId="45029B44" w14:textId="19DD7A24" w:rsidR="00782D18" w:rsidRPr="0003097C" w:rsidRDefault="00700FBB" w:rsidP="0003097C">
      <w:pPr>
        <w:shd w:val="clear" w:color="auto" w:fill="FFFFFF"/>
        <w:spacing w:before="120" w:after="120" w:line="240" w:lineRule="auto"/>
        <w:rPr>
          <w:rFonts w:ascii="Times New Roman" w:eastAsia="Times New Roman" w:hAnsi="Times New Roman" w:cs="Times New Roman"/>
          <w:sz w:val="24"/>
          <w:szCs w:val="24"/>
          <w:lang w:val="pt-PT" w:eastAsia="pt-PT"/>
        </w:rPr>
      </w:pPr>
      <w:r w:rsidRPr="00A938FB">
        <w:rPr>
          <w:rFonts w:ascii="Times New Roman" w:hAnsi="Times New Roman" w:cs="Times New Roman"/>
          <w:sz w:val="24"/>
          <w:szCs w:val="24"/>
          <w:shd w:val="clear" w:color="auto" w:fill="FFFFFF"/>
        </w:rPr>
        <w:t xml:space="preserve">SOUZA, Leonardo Silveira. </w:t>
      </w:r>
      <w:r w:rsidR="00A938FB" w:rsidRPr="00A938FB">
        <w:rPr>
          <w:rFonts w:ascii="Times New Roman" w:hAnsi="Times New Roman" w:cs="Times New Roman"/>
          <w:sz w:val="24"/>
          <w:szCs w:val="24"/>
          <w:shd w:val="clear" w:color="auto" w:fill="FFFFFF"/>
        </w:rPr>
        <w:t xml:space="preserve">Regulação </w:t>
      </w:r>
      <w:r w:rsidR="00A938FB">
        <w:rPr>
          <w:rFonts w:ascii="Times New Roman" w:hAnsi="Times New Roman" w:cs="Times New Roman"/>
          <w:sz w:val="24"/>
          <w:szCs w:val="24"/>
          <w:shd w:val="clear" w:color="auto" w:fill="FFFFFF"/>
        </w:rPr>
        <w:t>d</w:t>
      </w:r>
      <w:r w:rsidR="00A938FB" w:rsidRPr="00A938FB">
        <w:rPr>
          <w:rFonts w:ascii="Times New Roman" w:hAnsi="Times New Roman" w:cs="Times New Roman"/>
          <w:sz w:val="24"/>
          <w:szCs w:val="24"/>
          <w:shd w:val="clear" w:color="auto" w:fill="FFFFFF"/>
        </w:rPr>
        <w:t xml:space="preserve">o Mercado </w:t>
      </w:r>
      <w:r w:rsidR="00A938FB">
        <w:rPr>
          <w:rFonts w:ascii="Times New Roman" w:hAnsi="Times New Roman" w:cs="Times New Roman"/>
          <w:sz w:val="24"/>
          <w:szCs w:val="24"/>
          <w:shd w:val="clear" w:color="auto" w:fill="FFFFFF"/>
        </w:rPr>
        <w:t>d</w:t>
      </w:r>
      <w:r w:rsidR="00A938FB" w:rsidRPr="00A938FB">
        <w:rPr>
          <w:rFonts w:ascii="Times New Roman" w:hAnsi="Times New Roman" w:cs="Times New Roman"/>
          <w:sz w:val="24"/>
          <w:szCs w:val="24"/>
          <w:shd w:val="clear" w:color="auto" w:fill="FFFFFF"/>
        </w:rPr>
        <w:t xml:space="preserve">e </w:t>
      </w:r>
      <w:r w:rsidR="00A938FB" w:rsidRPr="00A938FB">
        <w:rPr>
          <w:rFonts w:ascii="Times New Roman" w:hAnsi="Times New Roman" w:cs="Times New Roman"/>
          <w:i/>
          <w:iCs/>
          <w:sz w:val="24"/>
          <w:szCs w:val="24"/>
          <w:shd w:val="clear" w:color="auto" w:fill="FFFFFF"/>
        </w:rPr>
        <w:t>Commodities</w:t>
      </w:r>
      <w:r w:rsidR="00A938FB" w:rsidRPr="00A938FB">
        <w:rPr>
          <w:rFonts w:ascii="Times New Roman" w:hAnsi="Times New Roman" w:cs="Times New Roman"/>
          <w:sz w:val="24"/>
          <w:szCs w:val="24"/>
          <w:shd w:val="clear" w:color="auto" w:fill="FFFFFF"/>
        </w:rPr>
        <w:t xml:space="preserve">: Países </w:t>
      </w:r>
      <w:r w:rsidR="00A938FB">
        <w:rPr>
          <w:rFonts w:ascii="Times New Roman" w:hAnsi="Times New Roman" w:cs="Times New Roman"/>
          <w:sz w:val="24"/>
          <w:szCs w:val="24"/>
          <w:shd w:val="clear" w:color="auto" w:fill="FFFFFF"/>
        </w:rPr>
        <w:t>e</w:t>
      </w:r>
      <w:r w:rsidR="00A938FB" w:rsidRPr="00A938FB">
        <w:rPr>
          <w:rFonts w:ascii="Times New Roman" w:hAnsi="Times New Roman" w:cs="Times New Roman"/>
          <w:sz w:val="24"/>
          <w:szCs w:val="24"/>
          <w:shd w:val="clear" w:color="auto" w:fill="FFFFFF"/>
        </w:rPr>
        <w:t xml:space="preserve">xportadores </w:t>
      </w:r>
      <w:r w:rsidR="00A938FB">
        <w:rPr>
          <w:rFonts w:ascii="Times New Roman" w:hAnsi="Times New Roman" w:cs="Times New Roman"/>
          <w:sz w:val="24"/>
          <w:szCs w:val="24"/>
          <w:shd w:val="clear" w:color="auto" w:fill="FFFFFF"/>
        </w:rPr>
        <w:t>v</w:t>
      </w:r>
      <w:r w:rsidR="00A938FB" w:rsidRPr="00A938FB">
        <w:rPr>
          <w:rFonts w:ascii="Times New Roman" w:hAnsi="Times New Roman" w:cs="Times New Roman"/>
          <w:sz w:val="24"/>
          <w:szCs w:val="24"/>
          <w:shd w:val="clear" w:color="auto" w:fill="FFFFFF"/>
        </w:rPr>
        <w:t xml:space="preserve">ersus </w:t>
      </w:r>
      <w:r w:rsidR="00A938FB">
        <w:rPr>
          <w:rFonts w:ascii="Times New Roman" w:hAnsi="Times New Roman" w:cs="Times New Roman"/>
          <w:sz w:val="24"/>
          <w:szCs w:val="24"/>
          <w:shd w:val="clear" w:color="auto" w:fill="FFFFFF"/>
        </w:rPr>
        <w:t>p</w:t>
      </w:r>
      <w:r w:rsidR="00A938FB" w:rsidRPr="00A938FB">
        <w:rPr>
          <w:rFonts w:ascii="Times New Roman" w:hAnsi="Times New Roman" w:cs="Times New Roman"/>
          <w:sz w:val="24"/>
          <w:szCs w:val="24"/>
          <w:shd w:val="clear" w:color="auto" w:fill="FFFFFF"/>
        </w:rPr>
        <w:t xml:space="preserve">aíses </w:t>
      </w:r>
      <w:r w:rsidR="00A938FB">
        <w:rPr>
          <w:rFonts w:ascii="Times New Roman" w:hAnsi="Times New Roman" w:cs="Times New Roman"/>
          <w:sz w:val="24"/>
          <w:szCs w:val="24"/>
          <w:shd w:val="clear" w:color="auto" w:fill="FFFFFF"/>
        </w:rPr>
        <w:t>i</w:t>
      </w:r>
      <w:r w:rsidR="00A938FB" w:rsidRPr="00A938FB">
        <w:rPr>
          <w:rFonts w:ascii="Times New Roman" w:hAnsi="Times New Roman" w:cs="Times New Roman"/>
          <w:sz w:val="24"/>
          <w:szCs w:val="24"/>
          <w:shd w:val="clear" w:color="auto" w:fill="FFFFFF"/>
        </w:rPr>
        <w:t>mportadores</w:t>
      </w:r>
      <w:r w:rsidRPr="00A938FB">
        <w:rPr>
          <w:rFonts w:ascii="Times New Roman" w:hAnsi="Times New Roman" w:cs="Times New Roman"/>
          <w:sz w:val="24"/>
          <w:szCs w:val="24"/>
          <w:shd w:val="clear" w:color="auto" w:fill="FFFFFF"/>
        </w:rPr>
        <w:t>. </w:t>
      </w:r>
      <w:r w:rsidRPr="00A938FB">
        <w:rPr>
          <w:rFonts w:ascii="Times New Roman" w:hAnsi="Times New Roman" w:cs="Times New Roman"/>
          <w:b/>
          <w:bCs/>
          <w:sz w:val="24"/>
          <w:szCs w:val="24"/>
          <w:shd w:val="clear" w:color="auto" w:fill="FFFFFF"/>
        </w:rPr>
        <w:t>Conjuntura Austral</w:t>
      </w:r>
      <w:r w:rsidRPr="00A938FB">
        <w:rPr>
          <w:rFonts w:ascii="Times New Roman" w:hAnsi="Times New Roman" w:cs="Times New Roman"/>
          <w:sz w:val="24"/>
          <w:szCs w:val="24"/>
          <w:shd w:val="clear" w:color="auto" w:fill="FFFFFF"/>
        </w:rPr>
        <w:t>, v. 3, n. 11, p. 14-23, 2012</w:t>
      </w:r>
      <w:r w:rsidR="008E4308">
        <w:rPr>
          <w:rFonts w:ascii="Times New Roman" w:hAnsi="Times New Roman" w:cs="Times New Roman"/>
          <w:sz w:val="24"/>
          <w:szCs w:val="24"/>
          <w:shd w:val="clear" w:color="auto" w:fill="FFFFFF"/>
        </w:rPr>
        <w:t>.</w:t>
      </w:r>
    </w:p>
    <w:sectPr w:rsidR="00782D18" w:rsidRPr="0003097C" w:rsidSect="00BA4440">
      <w:headerReference w:type="default" r:id="rId17"/>
      <w:footerReference w:type="default" r:id="rId18"/>
      <w:pgSz w:w="11906" w:h="16838"/>
      <w:pgMar w:top="1418" w:right="1418" w:bottom="1418" w:left="1418"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A6620" w14:textId="77777777" w:rsidR="00B97453" w:rsidRDefault="00B97453">
      <w:pPr>
        <w:spacing w:after="0" w:line="240" w:lineRule="auto"/>
      </w:pPr>
      <w:r>
        <w:separator/>
      </w:r>
    </w:p>
  </w:endnote>
  <w:endnote w:type="continuationSeparator" w:id="0">
    <w:p w14:paraId="6073BE83" w14:textId="77777777" w:rsidR="00B97453" w:rsidRDefault="00B9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eelawadee UI">
    <w:altName w:val="Microsoft Sans Serif"/>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F58F9" w14:textId="77777777" w:rsidR="000D031D" w:rsidRDefault="000D031D">
    <w:pPr>
      <w:tabs>
        <w:tab w:val="center" w:pos="4252"/>
        <w:tab w:val="right" w:pos="8504"/>
      </w:tabs>
      <w:spacing w:after="0" w:line="240" w:lineRule="auto"/>
      <w:jc w:val="center"/>
      <w:rPr>
        <w:rFonts w:ascii="Leelawadee UI" w:eastAsia="Leelawadee UI" w:hAnsi="Leelawadee UI" w:cs="Leelawadee UI"/>
        <w:b/>
        <w:color w:val="008000"/>
        <w:sz w:val="24"/>
        <w:szCs w:val="24"/>
      </w:rPr>
    </w:pPr>
    <w:r>
      <w:rPr>
        <w:noProof/>
      </w:rPr>
      <mc:AlternateContent>
        <mc:Choice Requires="wps">
          <w:drawing>
            <wp:anchor distT="0" distB="0" distL="114300" distR="114300" simplePos="0" relativeHeight="251659264" behindDoc="0" locked="0" layoutInCell="1" hidden="0" allowOverlap="1" wp14:anchorId="740E4737" wp14:editId="62CEEC7C">
              <wp:simplePos x="0" y="0"/>
              <wp:positionH relativeFrom="column">
                <wp:posOffset>38101</wp:posOffset>
              </wp:positionH>
              <wp:positionV relativeFrom="paragraph">
                <wp:posOffset>127000</wp:posOffset>
              </wp:positionV>
              <wp:extent cx="5685692" cy="12700"/>
              <wp:effectExtent l="0" t="0" r="0" b="0"/>
              <wp:wrapNone/>
              <wp:docPr id="27" name="Conector de Seta Reta 27"/>
              <wp:cNvGraphicFramePr/>
              <a:graphic xmlns:a="http://schemas.openxmlformats.org/drawingml/2006/main">
                <a:graphicData uri="http://schemas.microsoft.com/office/word/2010/wordprocessingShape">
                  <wps:wsp>
                    <wps:cNvCnPr/>
                    <wps:spPr>
                      <a:xfrm>
                        <a:off x="2503154" y="3780000"/>
                        <a:ext cx="5685692" cy="0"/>
                      </a:xfrm>
                      <a:prstGeom prst="straightConnector1">
                        <a:avLst/>
                      </a:prstGeom>
                      <a:noFill/>
                      <a:ln w="9525" cap="flat" cmpd="sng">
                        <a:solidFill>
                          <a:srgbClr val="008000"/>
                        </a:solidFill>
                        <a:prstDash val="solid"/>
                        <a:round/>
                        <a:headEnd type="none" w="med" len="med"/>
                        <a:tailEnd type="none" w="med" len="med"/>
                      </a:ln>
                    </wps:spPr>
                    <wps:bodyPr/>
                  </wps:wsp>
                </a:graphicData>
              </a:graphic>
            </wp:anchor>
          </w:drawing>
        </mc:Choice>
        <mc:Fallback>
          <w:pict>
            <v:shapetype w14:anchorId="1C666017" id="_x0000_t32" coordsize="21600,21600" o:spt="32" o:oned="t" path="m,l21600,21600e" filled="f">
              <v:path arrowok="t" fillok="f" o:connecttype="none"/>
              <o:lock v:ext="edit" shapetype="t"/>
            </v:shapetype>
            <v:shape id="Conector de Seta Reta 27" o:spid="_x0000_s1026" type="#_x0000_t32" style="position:absolute;margin-left:3pt;margin-top:10pt;width:447.7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" strokecolor="green"/>
          </w:pict>
        </mc:Fallback>
      </mc:AlternateContent>
    </w:r>
  </w:p>
  <w:p w14:paraId="62053A32" w14:textId="77777777" w:rsidR="000D031D" w:rsidRDefault="000D031D">
    <w:pPr>
      <w:tabs>
        <w:tab w:val="center" w:pos="4252"/>
        <w:tab w:val="right" w:pos="8504"/>
      </w:tabs>
      <w:spacing w:after="0" w:line="240" w:lineRule="auto"/>
      <w:jc w:val="center"/>
      <w:rPr>
        <w:rFonts w:ascii="Leelawadee UI" w:eastAsia="Leelawadee UI" w:hAnsi="Leelawadee UI" w:cs="Leelawadee UI"/>
        <w:color w:val="008000"/>
        <w:sz w:val="24"/>
        <w:szCs w:val="24"/>
      </w:rPr>
    </w:pPr>
    <w:r>
      <w:rPr>
        <w:rFonts w:ascii="Leelawadee UI" w:eastAsia="Leelawadee UI" w:hAnsi="Leelawadee UI" w:cs="Leelawadee UI"/>
        <w:color w:val="008000"/>
        <w:sz w:val="24"/>
        <w:szCs w:val="24"/>
      </w:rPr>
      <w:t>09 a 13 de agosto de 2020 | Foz do Iguaçu – PR</w:t>
    </w:r>
  </w:p>
  <w:p w14:paraId="7D968606" w14:textId="77777777" w:rsidR="000D031D" w:rsidRDefault="000D031D">
    <w:pPr>
      <w:spacing w:after="200" w:line="240" w:lineRule="auto"/>
      <w:jc w:val="center"/>
      <w:rPr>
        <w:rFonts w:ascii="Leelawadee UI" w:eastAsia="Leelawadee UI" w:hAnsi="Leelawadee UI" w:cs="Leelawadee UI"/>
        <w:color w:val="008000"/>
        <w:sz w:val="24"/>
        <w:szCs w:val="24"/>
      </w:rPr>
    </w:pPr>
    <w:r>
      <w:rPr>
        <w:rFonts w:ascii="Leelawadee UI" w:eastAsia="Leelawadee UI" w:hAnsi="Leelawadee UI" w:cs="Leelawadee UI"/>
        <w:color w:val="008000"/>
        <w:sz w:val="24"/>
        <w:szCs w:val="24"/>
      </w:rPr>
      <w:t>Sociedade Brasileira de Economia, Administração e Sociologia Rural - SOBER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EBE5D" w14:textId="77777777" w:rsidR="00B97453" w:rsidRDefault="00B97453">
      <w:pPr>
        <w:spacing w:after="0" w:line="240" w:lineRule="auto"/>
      </w:pPr>
      <w:r>
        <w:separator/>
      </w:r>
    </w:p>
  </w:footnote>
  <w:footnote w:type="continuationSeparator" w:id="0">
    <w:p w14:paraId="7B1435EE" w14:textId="77777777" w:rsidR="00B97453" w:rsidRDefault="00B97453">
      <w:pPr>
        <w:spacing w:after="0" w:line="240" w:lineRule="auto"/>
      </w:pPr>
      <w:r>
        <w:continuationSeparator/>
      </w:r>
    </w:p>
  </w:footnote>
  <w:footnote w:id="1">
    <w:p w14:paraId="093E4175" w14:textId="1DEF92E7" w:rsidR="003D3179" w:rsidRPr="003D3179" w:rsidRDefault="003D1510" w:rsidP="003D3179">
      <w:pPr>
        <w:pStyle w:val="Textodenotaderodap"/>
        <w:tabs>
          <w:tab w:val="left" w:pos="5205"/>
        </w:tabs>
        <w:jc w:val="both"/>
        <w:rPr>
          <w:rFonts w:ascii="Times New Roman" w:hAnsi="Times New Roman"/>
        </w:rPr>
      </w:pPr>
      <w:r w:rsidRPr="003D3179">
        <w:rPr>
          <w:rStyle w:val="Refdenotaderodap"/>
          <w:rFonts w:ascii="Times New Roman" w:hAnsi="Times New Roman"/>
        </w:rPr>
        <w:footnoteRef/>
      </w:r>
      <w:r w:rsidRPr="003D3179">
        <w:rPr>
          <w:rFonts w:ascii="Times New Roman" w:hAnsi="Times New Roman"/>
        </w:rPr>
        <w:t xml:space="preserve"> O presente artigo é um recorte da tese de doutora</w:t>
      </w:r>
      <w:r w:rsidR="003D3179" w:rsidRPr="003D3179">
        <w:rPr>
          <w:rFonts w:ascii="Times New Roman" w:hAnsi="Times New Roman"/>
        </w:rPr>
        <w:t>d</w:t>
      </w:r>
      <w:r w:rsidRPr="003D3179">
        <w:rPr>
          <w:rFonts w:ascii="Times New Roman" w:hAnsi="Times New Roman"/>
        </w:rPr>
        <w:t>o Pós-Graduação em Desenvol</w:t>
      </w:r>
      <w:r w:rsidR="003D3179" w:rsidRPr="003D3179">
        <w:rPr>
          <w:rFonts w:ascii="Times New Roman" w:hAnsi="Times New Roman"/>
        </w:rPr>
        <w:t>vimento Econômico, sob o título: A</w:t>
      </w:r>
      <w:r w:rsidR="005A12FA">
        <w:rPr>
          <w:rFonts w:ascii="Times New Roman" w:hAnsi="Times New Roman"/>
        </w:rPr>
        <w:t xml:space="preserve"> H</w:t>
      </w:r>
      <w:r w:rsidR="003D3179" w:rsidRPr="003D3179">
        <w:rPr>
          <w:rFonts w:ascii="Times New Roman" w:hAnsi="Times New Roman"/>
        </w:rPr>
        <w:t xml:space="preserve">eterogeneidade </w:t>
      </w:r>
      <w:r w:rsidR="005A12FA">
        <w:rPr>
          <w:rFonts w:ascii="Times New Roman" w:hAnsi="Times New Roman"/>
        </w:rPr>
        <w:t>S</w:t>
      </w:r>
      <w:r w:rsidR="003D3179" w:rsidRPr="003D3179">
        <w:rPr>
          <w:rFonts w:ascii="Times New Roman" w:hAnsi="Times New Roman"/>
        </w:rPr>
        <w:t xml:space="preserve">ocioeconômica como </w:t>
      </w:r>
      <w:r w:rsidR="005A12FA">
        <w:rPr>
          <w:rFonts w:ascii="Times New Roman" w:hAnsi="Times New Roman"/>
        </w:rPr>
        <w:t>L</w:t>
      </w:r>
      <w:r w:rsidR="003D3179" w:rsidRPr="003D3179">
        <w:rPr>
          <w:rFonts w:ascii="Times New Roman" w:hAnsi="Times New Roman"/>
        </w:rPr>
        <w:t xml:space="preserve">imitante do </w:t>
      </w:r>
      <w:r w:rsidR="005A12FA">
        <w:rPr>
          <w:rFonts w:ascii="Times New Roman" w:hAnsi="Times New Roman"/>
        </w:rPr>
        <w:t>D</w:t>
      </w:r>
      <w:r w:rsidR="003D3179" w:rsidRPr="003D3179">
        <w:rPr>
          <w:rFonts w:ascii="Times New Roman" w:hAnsi="Times New Roman"/>
        </w:rPr>
        <w:t xml:space="preserve">esenvolvimento do </w:t>
      </w:r>
      <w:r w:rsidR="005A12FA">
        <w:rPr>
          <w:rFonts w:ascii="Times New Roman" w:hAnsi="Times New Roman"/>
        </w:rPr>
        <w:t>E</w:t>
      </w:r>
      <w:r w:rsidR="003D3179" w:rsidRPr="003D3179">
        <w:rPr>
          <w:rFonts w:ascii="Times New Roman" w:hAnsi="Times New Roman"/>
        </w:rPr>
        <w:t>stado de Mato Grosso, apresentado ao Instituto de Economia da UNICAMP, fev. 2019. Agrade</w:t>
      </w:r>
      <w:r w:rsidR="004048F3">
        <w:rPr>
          <w:rFonts w:ascii="Times New Roman" w:hAnsi="Times New Roman"/>
        </w:rPr>
        <w:t>ço</w:t>
      </w:r>
      <w:r w:rsidR="003D3179" w:rsidRPr="003D3179">
        <w:rPr>
          <w:rFonts w:ascii="Times New Roman" w:hAnsi="Times New Roman"/>
        </w:rPr>
        <w:t xml:space="preserve"> </w:t>
      </w:r>
      <w:r w:rsidR="00036596">
        <w:rPr>
          <w:rFonts w:ascii="Times New Roman" w:hAnsi="Times New Roman"/>
        </w:rPr>
        <w:t>à</w:t>
      </w:r>
      <w:r w:rsidR="003D3179" w:rsidRPr="003D3179">
        <w:rPr>
          <w:rFonts w:ascii="Times New Roman" w:hAnsi="Times New Roman"/>
        </w:rPr>
        <w:t xml:space="preserve"> Fundação de Amparo à Pesquisa do Estado de Mato Grosso - FAPEMAT pelo financiamento concedido para realização dos estudos de doutoramento - Edital nº 04/2015</w:t>
      </w:r>
      <w:r w:rsidR="00036596">
        <w:rPr>
          <w:rFonts w:ascii="Times New Roman" w:hAnsi="Times New Roman"/>
        </w:rPr>
        <w:t xml:space="preserve"> e ao </w:t>
      </w:r>
      <w:r w:rsidR="00D4308E">
        <w:rPr>
          <w:rFonts w:ascii="Times New Roman" w:hAnsi="Times New Roman"/>
        </w:rPr>
        <w:t xml:space="preserve">professor Pedro Ramos </w:t>
      </w:r>
      <w:r w:rsidR="00036596">
        <w:rPr>
          <w:rFonts w:ascii="Times New Roman" w:hAnsi="Times New Roman"/>
        </w:rPr>
        <w:t>(</w:t>
      </w:r>
      <w:r w:rsidR="00D4308E">
        <w:rPr>
          <w:rFonts w:ascii="Times New Roman" w:hAnsi="Times New Roman"/>
        </w:rPr>
        <w:t>IE/Unicamp</w:t>
      </w:r>
      <w:r w:rsidR="00036596">
        <w:rPr>
          <w:rFonts w:ascii="Times New Roman" w:hAnsi="Times New Roman"/>
        </w:rPr>
        <w:t>)</w:t>
      </w:r>
      <w:r w:rsidR="00D4308E">
        <w:rPr>
          <w:rFonts w:ascii="Times New Roman" w:hAnsi="Times New Roman"/>
        </w:rPr>
        <w:t xml:space="preserve"> </w:t>
      </w:r>
      <w:r w:rsidR="00036596">
        <w:rPr>
          <w:rFonts w:ascii="Times New Roman" w:hAnsi="Times New Roman"/>
        </w:rPr>
        <w:t>pelas</w:t>
      </w:r>
      <w:r w:rsidR="00D4308E">
        <w:rPr>
          <w:rFonts w:ascii="Times New Roman" w:hAnsi="Times New Roman"/>
        </w:rPr>
        <w:t xml:space="preserve"> contribuições </w:t>
      </w:r>
      <w:r w:rsidR="00036596">
        <w:rPr>
          <w:rFonts w:ascii="Times New Roman" w:hAnsi="Times New Roman"/>
        </w:rPr>
        <w:t xml:space="preserve">significativas à </w:t>
      </w:r>
      <w:r w:rsidR="00D4308E">
        <w:rPr>
          <w:rFonts w:ascii="Times New Roman" w:hAnsi="Times New Roman"/>
        </w:rPr>
        <w:t xml:space="preserve">pesquisa, da qual resulta </w:t>
      </w:r>
      <w:r w:rsidR="00036596">
        <w:rPr>
          <w:rFonts w:ascii="Times New Roman" w:hAnsi="Times New Roman"/>
        </w:rPr>
        <w:t>o presente</w:t>
      </w:r>
      <w:r w:rsidR="00D4308E">
        <w:rPr>
          <w:rFonts w:ascii="Times New Roman" w:hAnsi="Times New Roman"/>
        </w:rPr>
        <w:t xml:space="preserve"> artigo.</w:t>
      </w:r>
    </w:p>
  </w:footnote>
  <w:footnote w:id="2">
    <w:p w14:paraId="2A8892F1" w14:textId="77777777" w:rsidR="000D031D" w:rsidRPr="003A035F" w:rsidRDefault="000D031D" w:rsidP="00943AF3">
      <w:pPr>
        <w:pStyle w:val="Textodenotaderodap"/>
        <w:jc w:val="both"/>
        <w:rPr>
          <w:rFonts w:ascii="Times New Roman" w:hAnsi="Times New Roman"/>
        </w:rPr>
      </w:pPr>
      <w:r w:rsidRPr="003A035F">
        <w:rPr>
          <w:rStyle w:val="Refdenotaderodap"/>
          <w:rFonts w:ascii="Times New Roman" w:hAnsi="Times New Roman"/>
        </w:rPr>
        <w:footnoteRef/>
      </w:r>
      <w:r w:rsidRPr="003A035F">
        <w:rPr>
          <w:rFonts w:ascii="Times New Roman" w:hAnsi="Times New Roman"/>
        </w:rPr>
        <w:t xml:space="preserve"> Este cenário ganha relevância</w:t>
      </w:r>
      <w:r>
        <w:rPr>
          <w:rFonts w:ascii="Times New Roman" w:hAnsi="Times New Roman"/>
        </w:rPr>
        <w:t>,</w:t>
      </w:r>
      <w:r w:rsidRPr="003A035F">
        <w:rPr>
          <w:rFonts w:ascii="Times New Roman" w:hAnsi="Times New Roman"/>
        </w:rPr>
        <w:t xml:space="preserve"> a partir da Segunda Guerra Mundial, sob a hegemonia econômica dos Estados Unidos, em um contexto de disputa política e econômica provocada pela Guerra Fria.</w:t>
      </w:r>
    </w:p>
  </w:footnote>
  <w:footnote w:id="3">
    <w:p w14:paraId="5479EC1C" w14:textId="137A4CCF" w:rsidR="000D031D" w:rsidRPr="00B31568" w:rsidRDefault="000D031D" w:rsidP="00943AF3">
      <w:pPr>
        <w:pStyle w:val="Textodenotaderodap"/>
        <w:jc w:val="both"/>
        <w:rPr>
          <w:rFonts w:ascii="Times New Roman" w:hAnsi="Times New Roman"/>
        </w:rPr>
      </w:pPr>
      <w:r w:rsidRPr="00B31568">
        <w:rPr>
          <w:rStyle w:val="Refdenotaderodap"/>
          <w:rFonts w:ascii="Times New Roman" w:hAnsi="Times New Roman"/>
        </w:rPr>
        <w:footnoteRef/>
      </w:r>
      <w:r w:rsidRPr="00B31568">
        <w:rPr>
          <w:rFonts w:ascii="Times New Roman" w:hAnsi="Times New Roman"/>
        </w:rPr>
        <w:t xml:space="preserve"> Há uma mudança na dieta global pelo desenvolvimento de pro</w:t>
      </w:r>
      <w:r>
        <w:rPr>
          <w:rFonts w:ascii="Times New Roman" w:hAnsi="Times New Roman"/>
        </w:rPr>
        <w:t>dutos à base de açú</w:t>
      </w:r>
      <w:r w:rsidRPr="00B31568">
        <w:rPr>
          <w:rFonts w:ascii="Times New Roman" w:hAnsi="Times New Roman"/>
        </w:rPr>
        <w:t xml:space="preserve">cares e gorduras, além do maior consumo de cereais e carnes. </w:t>
      </w:r>
      <w:r w:rsidR="00743B4D">
        <w:rPr>
          <w:rFonts w:ascii="Times New Roman" w:hAnsi="Times New Roman"/>
        </w:rPr>
        <w:t xml:space="preserve">Sobre esse tema </w:t>
      </w:r>
      <w:r>
        <w:rPr>
          <w:rFonts w:ascii="Times New Roman" w:hAnsi="Times New Roman"/>
        </w:rPr>
        <w:t>Friedman (2004)</w:t>
      </w:r>
      <w:r w:rsidRPr="00B31568">
        <w:rPr>
          <w:rFonts w:ascii="Times New Roman" w:hAnsi="Times New Roman"/>
        </w:rPr>
        <w:t xml:space="preserve"> apresenta uma</w:t>
      </w:r>
      <w:r w:rsidR="007C4308">
        <w:rPr>
          <w:rFonts w:ascii="Times New Roman" w:hAnsi="Times New Roman"/>
        </w:rPr>
        <w:t xml:space="preserve"> importante</w:t>
      </w:r>
      <w:r w:rsidRPr="00B31568">
        <w:rPr>
          <w:rFonts w:ascii="Times New Roman" w:hAnsi="Times New Roman"/>
        </w:rPr>
        <w:t xml:space="preserve"> leitura sobre as mudanças da agricultura mundial a partir das transformações do regime alimentar global.</w:t>
      </w:r>
    </w:p>
  </w:footnote>
  <w:footnote w:id="4">
    <w:p w14:paraId="6463CFBA" w14:textId="77777777" w:rsidR="000D031D" w:rsidRPr="00865E53" w:rsidRDefault="000D031D" w:rsidP="00943AF3">
      <w:pPr>
        <w:pStyle w:val="Textodenotaderodap"/>
        <w:jc w:val="both"/>
        <w:rPr>
          <w:rFonts w:ascii="Times New Roman" w:hAnsi="Times New Roman"/>
        </w:rPr>
      </w:pPr>
      <w:r w:rsidRPr="00865E53">
        <w:rPr>
          <w:rStyle w:val="Refdenotaderodap"/>
          <w:rFonts w:ascii="Times New Roman" w:hAnsi="Times New Roman"/>
        </w:rPr>
        <w:footnoteRef/>
      </w:r>
      <w:r w:rsidRPr="00865E53">
        <w:rPr>
          <w:rFonts w:ascii="Times New Roman" w:hAnsi="Times New Roman"/>
        </w:rPr>
        <w:t xml:space="preserve"> O termo </w:t>
      </w:r>
      <w:r>
        <w:rPr>
          <w:rFonts w:ascii="Times New Roman" w:hAnsi="Times New Roman"/>
        </w:rPr>
        <w:t>‘</w:t>
      </w:r>
      <w:r w:rsidRPr="00865E53">
        <w:rPr>
          <w:rFonts w:ascii="Times New Roman" w:hAnsi="Times New Roman"/>
        </w:rPr>
        <w:t>agronegócio</w:t>
      </w:r>
      <w:r>
        <w:rPr>
          <w:rFonts w:ascii="Times New Roman" w:hAnsi="Times New Roman"/>
        </w:rPr>
        <w:t>’</w:t>
      </w:r>
      <w:r w:rsidRPr="00865E53">
        <w:rPr>
          <w:rFonts w:ascii="Times New Roman" w:hAnsi="Times New Roman"/>
        </w:rPr>
        <w:t xml:space="preserve"> é tradução da palavra </w:t>
      </w:r>
      <w:r w:rsidRPr="00865E53">
        <w:rPr>
          <w:rFonts w:ascii="Times New Roman" w:hAnsi="Times New Roman"/>
          <w:i/>
        </w:rPr>
        <w:t>agribusiness</w:t>
      </w:r>
      <w:r>
        <w:rPr>
          <w:rFonts w:ascii="Times New Roman" w:hAnsi="Times New Roman"/>
        </w:rPr>
        <w:t>,</w:t>
      </w:r>
      <w:r w:rsidRPr="00865E53">
        <w:rPr>
          <w:rFonts w:ascii="Times New Roman" w:hAnsi="Times New Roman"/>
        </w:rPr>
        <w:t xml:space="preserve"> e foi </w:t>
      </w:r>
      <w:r>
        <w:rPr>
          <w:rFonts w:ascii="Times New Roman" w:hAnsi="Times New Roman"/>
        </w:rPr>
        <w:t>cunhado</w:t>
      </w:r>
      <w:r w:rsidRPr="00865E53">
        <w:rPr>
          <w:rFonts w:ascii="Times New Roman" w:hAnsi="Times New Roman"/>
        </w:rPr>
        <w:t xml:space="preserve"> pelos professores Ray Goldberg e John Davis, da Universidade de Harvard, em 1957.</w:t>
      </w:r>
    </w:p>
  </w:footnote>
  <w:footnote w:id="5">
    <w:p w14:paraId="7A6868F7" w14:textId="77777777" w:rsidR="000D031D" w:rsidRPr="0066418C" w:rsidRDefault="000D031D" w:rsidP="00943AF3">
      <w:pPr>
        <w:pStyle w:val="Textodenotaderodap"/>
        <w:rPr>
          <w:rFonts w:ascii="Times New Roman" w:hAnsi="Times New Roman"/>
        </w:rPr>
      </w:pPr>
      <w:r w:rsidRPr="0066418C">
        <w:rPr>
          <w:rStyle w:val="Refdenotaderodap"/>
          <w:rFonts w:ascii="Times New Roman" w:hAnsi="Times New Roman"/>
        </w:rPr>
        <w:footnoteRef/>
      </w:r>
      <w:r w:rsidRPr="0066418C">
        <w:rPr>
          <w:rFonts w:ascii="Times New Roman" w:hAnsi="Times New Roman"/>
        </w:rPr>
        <w:t xml:space="preserve"> A terra representou, historicamente, um ativo importante de capital, no entanto</w:t>
      </w:r>
      <w:r>
        <w:rPr>
          <w:rFonts w:ascii="Times New Roman" w:hAnsi="Times New Roman"/>
        </w:rPr>
        <w:t>,</w:t>
      </w:r>
      <w:r w:rsidRPr="0066418C">
        <w:rPr>
          <w:rFonts w:ascii="Times New Roman" w:hAnsi="Times New Roman"/>
        </w:rPr>
        <w:t xml:space="preserve"> até o início do século XXI</w:t>
      </w:r>
      <w:r>
        <w:rPr>
          <w:rFonts w:ascii="Times New Roman" w:hAnsi="Times New Roman"/>
        </w:rPr>
        <w:t>,</w:t>
      </w:r>
      <w:r w:rsidRPr="0066418C">
        <w:rPr>
          <w:rFonts w:ascii="Times New Roman" w:hAnsi="Times New Roman"/>
        </w:rPr>
        <w:t xml:space="preserve"> era utilizado como forma de proteção contra a inflação e, agora, como a finalidade de geração de lucros.</w:t>
      </w:r>
    </w:p>
  </w:footnote>
  <w:footnote w:id="6">
    <w:p w14:paraId="128FC08C" w14:textId="77777777" w:rsidR="000D031D" w:rsidRPr="006E5164" w:rsidRDefault="000D031D" w:rsidP="00943AF3">
      <w:pPr>
        <w:pStyle w:val="Textodenotaderodap"/>
        <w:jc w:val="both"/>
        <w:rPr>
          <w:rFonts w:ascii="Times New Roman" w:hAnsi="Times New Roman"/>
        </w:rPr>
      </w:pPr>
      <w:r w:rsidRPr="006E5164">
        <w:rPr>
          <w:rStyle w:val="Refdenotaderodap"/>
          <w:rFonts w:ascii="Times New Roman" w:hAnsi="Times New Roman"/>
        </w:rPr>
        <w:footnoteRef/>
      </w:r>
      <w:r w:rsidRPr="006E5164">
        <w:rPr>
          <w:rFonts w:ascii="Times New Roman" w:hAnsi="Times New Roman"/>
        </w:rPr>
        <w:t xml:space="preserve"> </w:t>
      </w:r>
      <w:bookmarkStart w:id="7" w:name="_Hlk535424966"/>
      <w:r w:rsidRPr="006E5164">
        <w:rPr>
          <w:rFonts w:ascii="Times New Roman" w:hAnsi="Times New Roman"/>
        </w:rPr>
        <w:t>Pode-se citar o caso</w:t>
      </w:r>
      <w:r>
        <w:rPr>
          <w:rFonts w:ascii="Times New Roman" w:hAnsi="Times New Roman"/>
        </w:rPr>
        <w:t xml:space="preserve"> da </w:t>
      </w:r>
      <w:proofErr w:type="spellStart"/>
      <w:r w:rsidRPr="006E5164">
        <w:rPr>
          <w:rFonts w:ascii="Times New Roman" w:hAnsi="Times New Roman"/>
        </w:rPr>
        <w:t>BrasilAgro</w:t>
      </w:r>
      <w:proofErr w:type="spellEnd"/>
      <w:r>
        <w:rPr>
          <w:rFonts w:ascii="Times New Roman" w:hAnsi="Times New Roman"/>
        </w:rPr>
        <w:t xml:space="preserve">, </w:t>
      </w:r>
      <w:r w:rsidRPr="006E5164">
        <w:rPr>
          <w:rFonts w:ascii="Times New Roman" w:hAnsi="Times New Roman"/>
        </w:rPr>
        <w:t>criad</w:t>
      </w:r>
      <w:r>
        <w:rPr>
          <w:rFonts w:ascii="Times New Roman" w:hAnsi="Times New Roman"/>
        </w:rPr>
        <w:t>a</w:t>
      </w:r>
      <w:r w:rsidRPr="006E5164">
        <w:rPr>
          <w:rFonts w:ascii="Times New Roman" w:hAnsi="Times New Roman"/>
        </w:rPr>
        <w:t xml:space="preserve"> pelo grupo IRSA</w:t>
      </w:r>
      <w:r>
        <w:rPr>
          <w:rFonts w:ascii="Times New Roman" w:hAnsi="Times New Roman"/>
        </w:rPr>
        <w:t xml:space="preserve">, que lançou </w:t>
      </w:r>
      <w:r w:rsidRPr="006E5164">
        <w:rPr>
          <w:rFonts w:ascii="Times New Roman" w:hAnsi="Times New Roman"/>
        </w:rPr>
        <w:t>se</w:t>
      </w:r>
      <w:r>
        <w:rPr>
          <w:rFonts w:ascii="Times New Roman" w:hAnsi="Times New Roman"/>
        </w:rPr>
        <w:t>u primeiro IPO na Bovespa,</w:t>
      </w:r>
      <w:r w:rsidRPr="006E5164">
        <w:rPr>
          <w:rFonts w:ascii="Times New Roman" w:hAnsi="Times New Roman"/>
        </w:rPr>
        <w:t xml:space="preserve"> em maio de 2006, com </w:t>
      </w:r>
      <w:r>
        <w:rPr>
          <w:rFonts w:ascii="Times New Roman" w:hAnsi="Times New Roman"/>
        </w:rPr>
        <w:t xml:space="preserve">o </w:t>
      </w:r>
      <w:r w:rsidRPr="006E5164">
        <w:rPr>
          <w:rFonts w:ascii="Times New Roman" w:hAnsi="Times New Roman"/>
        </w:rPr>
        <w:t>objetivo de investir no mercado imobiliário, através da compra, desenvolvimento e valo</w:t>
      </w:r>
      <w:r>
        <w:rPr>
          <w:rFonts w:ascii="Times New Roman" w:hAnsi="Times New Roman"/>
        </w:rPr>
        <w:t xml:space="preserve">rização de áreas agricultáveis </w:t>
      </w:r>
      <w:r w:rsidRPr="006E5164">
        <w:rPr>
          <w:rFonts w:ascii="Times New Roman" w:hAnsi="Times New Roman"/>
        </w:rPr>
        <w:t>(BRASILAGRO, 2017)</w:t>
      </w:r>
      <w:r>
        <w:rPr>
          <w:rFonts w:ascii="Times New Roman" w:hAnsi="Times New Roman"/>
        </w:rPr>
        <w:t>.</w:t>
      </w:r>
      <w:bookmarkEnd w:id="7"/>
    </w:p>
  </w:footnote>
  <w:footnote w:id="7">
    <w:p w14:paraId="2FDA753B" w14:textId="77777777" w:rsidR="000D031D" w:rsidRPr="005C24D2" w:rsidRDefault="000D031D" w:rsidP="00943AF3">
      <w:pPr>
        <w:pStyle w:val="Textodenotaderodap"/>
        <w:jc w:val="both"/>
        <w:rPr>
          <w:rFonts w:ascii="Times New Roman" w:hAnsi="Times New Roman"/>
        </w:rPr>
      </w:pPr>
      <w:r w:rsidRPr="005C24D2">
        <w:rPr>
          <w:rStyle w:val="Refdenotaderodap"/>
          <w:rFonts w:ascii="Times New Roman" w:hAnsi="Times New Roman"/>
        </w:rPr>
        <w:footnoteRef/>
      </w:r>
      <w:r w:rsidRPr="005C24D2">
        <w:rPr>
          <w:rFonts w:ascii="Times New Roman" w:hAnsi="Times New Roman"/>
        </w:rPr>
        <w:t xml:space="preserve"> </w:t>
      </w:r>
      <w:r>
        <w:rPr>
          <w:rFonts w:ascii="Times New Roman" w:hAnsi="Times New Roman"/>
        </w:rPr>
        <w:t>A</w:t>
      </w:r>
      <w:r w:rsidRPr="005C24D2">
        <w:rPr>
          <w:rFonts w:ascii="Times New Roman" w:hAnsi="Times New Roman"/>
        </w:rPr>
        <w:t xml:space="preserve"> internacionalização acontece</w:t>
      </w:r>
      <w:r>
        <w:rPr>
          <w:rFonts w:ascii="Times New Roman" w:hAnsi="Times New Roman"/>
        </w:rPr>
        <w:t xml:space="preserve"> </w:t>
      </w:r>
      <w:r w:rsidRPr="005C24D2">
        <w:rPr>
          <w:rFonts w:ascii="Times New Roman" w:hAnsi="Times New Roman"/>
        </w:rPr>
        <w:t xml:space="preserve">pela presença das </w:t>
      </w:r>
      <w:r w:rsidRPr="0058101F">
        <w:rPr>
          <w:rFonts w:ascii="Times New Roman" w:hAnsi="Times New Roman"/>
          <w:i/>
        </w:rPr>
        <w:t>tradings</w:t>
      </w:r>
      <w:r>
        <w:rPr>
          <w:rFonts w:ascii="Times New Roman" w:hAnsi="Times New Roman"/>
          <w:i/>
        </w:rPr>
        <w:t xml:space="preserve"> </w:t>
      </w:r>
      <w:proofErr w:type="spellStart"/>
      <w:r w:rsidRPr="004C1BB6">
        <w:rPr>
          <w:rFonts w:ascii="Times New Roman" w:hAnsi="Times New Roman"/>
          <w:i/>
        </w:rPr>
        <w:t>companies</w:t>
      </w:r>
      <w:proofErr w:type="spellEnd"/>
      <w:r>
        <w:rPr>
          <w:rFonts w:ascii="Times New Roman" w:hAnsi="Times New Roman"/>
        </w:rPr>
        <w:t>,</w:t>
      </w:r>
      <w:r w:rsidRPr="005C24D2">
        <w:rPr>
          <w:rFonts w:ascii="Times New Roman" w:hAnsi="Times New Roman"/>
        </w:rPr>
        <w:t xml:space="preserve"> que atuam nas diferentes fases do processo de produção</w:t>
      </w:r>
      <w:r>
        <w:rPr>
          <w:rFonts w:ascii="Times New Roman" w:hAnsi="Times New Roman"/>
        </w:rPr>
        <w:t>, como é o caso do estado do Mato Grosso</w:t>
      </w:r>
      <w:r w:rsidRPr="005C24D2">
        <w:rPr>
          <w:rFonts w:ascii="Times New Roman" w:hAnsi="Times New Roman"/>
        </w:rPr>
        <w:t xml:space="preserve">. </w:t>
      </w:r>
    </w:p>
  </w:footnote>
  <w:footnote w:id="8">
    <w:p w14:paraId="6AD01F04" w14:textId="060A8912" w:rsidR="000D031D" w:rsidRPr="000E0A6D" w:rsidRDefault="000D031D" w:rsidP="009B6367">
      <w:pPr>
        <w:pStyle w:val="Textodenotaderodap"/>
        <w:jc w:val="both"/>
        <w:rPr>
          <w:rFonts w:ascii="Times New Roman" w:hAnsi="Times New Roman"/>
          <w:lang w:val="pt-PT"/>
        </w:rPr>
      </w:pPr>
      <w:r w:rsidRPr="000E0A6D">
        <w:rPr>
          <w:rStyle w:val="Refdenotaderodap"/>
          <w:rFonts w:ascii="Times New Roman" w:hAnsi="Times New Roman"/>
        </w:rPr>
        <w:footnoteRef/>
      </w:r>
      <w:r w:rsidRPr="000E0A6D">
        <w:rPr>
          <w:rFonts w:ascii="Times New Roman" w:hAnsi="Times New Roman"/>
        </w:rPr>
        <w:t xml:space="preserve"> </w:t>
      </w:r>
      <w:r w:rsidR="00825D87">
        <w:rPr>
          <w:rFonts w:ascii="Times New Roman" w:hAnsi="Times New Roman"/>
        </w:rPr>
        <w:t>O</w:t>
      </w:r>
      <w:r w:rsidRPr="000E0A6D">
        <w:rPr>
          <w:rFonts w:ascii="Times New Roman" w:hAnsi="Times New Roman"/>
        </w:rPr>
        <w:t>s dados da FGV foram descontinuados (encerrados) para os anos mais recentes.</w:t>
      </w:r>
    </w:p>
  </w:footnote>
  <w:footnote w:id="9">
    <w:p w14:paraId="4D42BA56" w14:textId="5F68110A" w:rsidR="000D031D" w:rsidRPr="00930E10" w:rsidRDefault="000D031D" w:rsidP="00FD56DB">
      <w:pPr>
        <w:pStyle w:val="Textodenotaderodap"/>
        <w:jc w:val="both"/>
      </w:pPr>
      <w:r>
        <w:rPr>
          <w:rStyle w:val="Refdenotaderodap"/>
        </w:rPr>
        <w:footnoteRef/>
      </w:r>
      <w:r>
        <w:t xml:space="preserve"> </w:t>
      </w:r>
      <w:r w:rsidRPr="00AA50AF">
        <w:rPr>
          <w:rFonts w:ascii="Times New Roman" w:hAnsi="Times New Roman"/>
        </w:rPr>
        <w:t xml:space="preserve">A região denominada de </w:t>
      </w:r>
      <w:r w:rsidR="002A08E4" w:rsidRPr="00AA50AF">
        <w:rPr>
          <w:rFonts w:ascii="Times New Roman" w:hAnsi="Times New Roman"/>
        </w:rPr>
        <w:t>MATOPIBA</w:t>
      </w:r>
      <w:r w:rsidRPr="00AA50AF">
        <w:rPr>
          <w:rFonts w:ascii="Times New Roman" w:hAnsi="Times New Roman"/>
        </w:rPr>
        <w:t xml:space="preserve"> corresponde </w:t>
      </w:r>
      <w:r>
        <w:rPr>
          <w:rFonts w:ascii="Times New Roman" w:hAnsi="Times New Roman"/>
        </w:rPr>
        <w:t>à</w:t>
      </w:r>
      <w:r w:rsidRPr="00AA50AF">
        <w:rPr>
          <w:rFonts w:ascii="Times New Roman" w:hAnsi="Times New Roman"/>
        </w:rPr>
        <w:t xml:space="preserve"> fronteira agrícola constituída por áreas contíguas de três estados do Nordeste (MA, PI, BA) e um do Norte (TO), onde</w:t>
      </w:r>
      <w:r>
        <w:rPr>
          <w:rFonts w:ascii="Times New Roman" w:hAnsi="Times New Roman"/>
        </w:rPr>
        <w:t>,</w:t>
      </w:r>
      <w:r w:rsidRPr="00AA50AF">
        <w:rPr>
          <w:rFonts w:ascii="Times New Roman" w:hAnsi="Times New Roman"/>
        </w:rPr>
        <w:t xml:space="preserve"> há extensas áreas planas de cerrado, que t</w:t>
      </w:r>
      <w:r>
        <w:rPr>
          <w:rFonts w:ascii="Times New Roman" w:hAnsi="Times New Roman"/>
        </w:rPr>
        <w:t>ê</w:t>
      </w:r>
      <w:r w:rsidRPr="00AA50AF">
        <w:rPr>
          <w:rFonts w:ascii="Times New Roman" w:hAnsi="Times New Roman"/>
        </w:rPr>
        <w:t>m apresentando elevados índices de produção de grãos, em especial</w:t>
      </w:r>
      <w:r>
        <w:rPr>
          <w:rFonts w:ascii="Times New Roman" w:hAnsi="Times New Roman"/>
        </w:rPr>
        <w:t>,</w:t>
      </w:r>
      <w:r w:rsidRPr="00AA50AF">
        <w:rPr>
          <w:rFonts w:ascii="Times New Roman" w:hAnsi="Times New Roman"/>
        </w:rPr>
        <w:t xml:space="preserve"> soja e milho.</w:t>
      </w:r>
    </w:p>
  </w:footnote>
  <w:footnote w:id="10">
    <w:p w14:paraId="13F36603" w14:textId="77777777" w:rsidR="000D031D" w:rsidRPr="00BE6C29" w:rsidRDefault="000D031D" w:rsidP="00D55B81">
      <w:pPr>
        <w:pStyle w:val="Textodenotaderodap"/>
        <w:jc w:val="both"/>
        <w:rPr>
          <w:rFonts w:ascii="Times New Roman" w:hAnsi="Times New Roman"/>
        </w:rPr>
      </w:pPr>
      <w:r w:rsidRPr="00BE6C29">
        <w:rPr>
          <w:rStyle w:val="Refdenotaderodap"/>
          <w:rFonts w:ascii="Times New Roman" w:hAnsi="Times New Roman"/>
        </w:rPr>
        <w:footnoteRef/>
      </w:r>
      <w:r w:rsidRPr="00BE6C29">
        <w:rPr>
          <w:rFonts w:ascii="Times New Roman" w:hAnsi="Times New Roman"/>
        </w:rPr>
        <w:t xml:space="preserve"> O novo Código Florestal permitiu a recomposição da reserva legal desmatada</w:t>
      </w:r>
      <w:r>
        <w:rPr>
          <w:rFonts w:ascii="Times New Roman" w:hAnsi="Times New Roman"/>
        </w:rPr>
        <w:t>,</w:t>
      </w:r>
      <w:r w:rsidRPr="00BE6C29">
        <w:rPr>
          <w:rFonts w:ascii="Times New Roman" w:hAnsi="Times New Roman"/>
        </w:rPr>
        <w:t xml:space="preserve"> em data anterior a julho de 2008</w:t>
      </w:r>
      <w:r>
        <w:rPr>
          <w:rFonts w:ascii="Times New Roman" w:hAnsi="Times New Roman"/>
        </w:rPr>
        <w:t>, a</w:t>
      </w:r>
      <w:r w:rsidRPr="00BE6C29">
        <w:rPr>
          <w:rFonts w:ascii="Times New Roman" w:hAnsi="Times New Roman"/>
        </w:rPr>
        <w:t xml:space="preserve"> ser realizada em nível de bioma ou dentro da propriedade, com a utilização de espécies exóticas</w:t>
      </w:r>
      <w:r>
        <w:rPr>
          <w:rFonts w:ascii="Times New Roman" w:hAnsi="Times New Roman"/>
        </w:rPr>
        <w:t>,</w:t>
      </w:r>
      <w:r w:rsidRPr="00BE6C29">
        <w:rPr>
          <w:rFonts w:ascii="Times New Roman" w:hAnsi="Times New Roman"/>
        </w:rPr>
        <w:t xml:space="preserve"> que tenham o seu uso econômico futuro assegurado. Essa legalização de áreas degradadas </w:t>
      </w:r>
      <w:r>
        <w:rPr>
          <w:rFonts w:ascii="Times New Roman" w:hAnsi="Times New Roman"/>
        </w:rPr>
        <w:t xml:space="preserve">a </w:t>
      </w:r>
      <w:r w:rsidRPr="00BE6C29">
        <w:rPr>
          <w:rFonts w:ascii="Times New Roman" w:hAnsi="Times New Roman"/>
        </w:rPr>
        <w:t>serem recuperadas a nível de bioma, possibilita que áreas menos valorizadas sejam usadas para conservação, enquanto áreas mais valorizadas tenha seu uso intensificado.</w:t>
      </w:r>
    </w:p>
  </w:footnote>
  <w:footnote w:id="11">
    <w:p w14:paraId="7B9D42B9" w14:textId="77777777" w:rsidR="000D031D" w:rsidRPr="00D93EF4" w:rsidRDefault="000D031D" w:rsidP="00977B76">
      <w:pPr>
        <w:pStyle w:val="Textodenotaderodap"/>
        <w:jc w:val="both"/>
        <w:rPr>
          <w:rFonts w:ascii="Times New Roman" w:hAnsi="Times New Roman"/>
        </w:rPr>
      </w:pPr>
      <w:r w:rsidRPr="00D93EF4">
        <w:rPr>
          <w:rStyle w:val="Refdenotaderodap"/>
          <w:rFonts w:ascii="Times New Roman" w:hAnsi="Times New Roman"/>
        </w:rPr>
        <w:footnoteRef/>
      </w:r>
      <w:r w:rsidRPr="00D93EF4">
        <w:rPr>
          <w:rFonts w:ascii="Times New Roman" w:hAnsi="Times New Roman"/>
        </w:rPr>
        <w:t xml:space="preserve"> Programa criado em 20</w:t>
      </w:r>
      <w:r>
        <w:rPr>
          <w:rFonts w:ascii="Times New Roman" w:hAnsi="Times New Roman"/>
        </w:rPr>
        <w:t>0</w:t>
      </w:r>
      <w:r w:rsidRPr="00D93EF4">
        <w:rPr>
          <w:rFonts w:ascii="Times New Roman" w:hAnsi="Times New Roman"/>
        </w:rPr>
        <w:t>0, como linha de crédito de financiamento para aquisição de tratores, colheitadeiras, plataformas de corte, pulverizadores, plantadeiras, semeadoras e equipamentos para beneficiamento de café.</w:t>
      </w:r>
    </w:p>
  </w:footnote>
  <w:footnote w:id="12">
    <w:p w14:paraId="5B15B7E7" w14:textId="77777777" w:rsidR="000D031D" w:rsidRPr="00BF7396" w:rsidRDefault="000D031D" w:rsidP="00BF7396">
      <w:pPr>
        <w:pStyle w:val="Textodenotaderodap"/>
        <w:tabs>
          <w:tab w:val="left" w:pos="735"/>
        </w:tabs>
        <w:jc w:val="both"/>
        <w:rPr>
          <w:rFonts w:ascii="Times New Roman" w:hAnsi="Times New Roman"/>
        </w:rPr>
      </w:pPr>
      <w:r w:rsidRPr="00BF7396">
        <w:rPr>
          <w:rStyle w:val="Refdenotaderodap"/>
          <w:rFonts w:ascii="Times New Roman" w:hAnsi="Times New Roman"/>
        </w:rPr>
        <w:footnoteRef/>
      </w:r>
      <w:r w:rsidRPr="00BF7396">
        <w:rPr>
          <w:rFonts w:ascii="Times New Roman" w:hAnsi="Times New Roman"/>
        </w:rPr>
        <w:t xml:space="preserve"> Cabe ressaltar, no entanto, que esse programa perdeu uma parte significativa de seus desembolsos para o setor rural entre 2010 e 2014, sendo substituídos por outros programas como o Programa de Sustentação do Investimento (PSI/Bens de Capital/Rural), que desempenharam o mesmo papel.</w:t>
      </w:r>
    </w:p>
  </w:footnote>
  <w:footnote w:id="13">
    <w:p w14:paraId="6B3D0D21" w14:textId="77777777" w:rsidR="000D031D" w:rsidRPr="00173DB4" w:rsidRDefault="000D031D" w:rsidP="00977B76">
      <w:pPr>
        <w:pStyle w:val="Textodenotaderodap"/>
        <w:jc w:val="both"/>
        <w:rPr>
          <w:rFonts w:ascii="Times New Roman" w:hAnsi="Times New Roman"/>
        </w:rPr>
      </w:pPr>
      <w:r w:rsidRPr="00173DB4">
        <w:rPr>
          <w:rStyle w:val="Refdenotaderodap"/>
          <w:rFonts w:ascii="Times New Roman" w:hAnsi="Times New Roman"/>
        </w:rPr>
        <w:footnoteRef/>
      </w:r>
      <w:r w:rsidRPr="00173DB4">
        <w:rPr>
          <w:rFonts w:ascii="Times New Roman" w:hAnsi="Times New Roman"/>
        </w:rPr>
        <w:t xml:space="preserve"> O </w:t>
      </w:r>
      <w:hyperlink r:id="rId1" w:anchor="_blank" w:tgtFrame="_blank" w:history="1">
        <w:r w:rsidRPr="00173DB4">
          <w:rPr>
            <w:rFonts w:ascii="Times New Roman" w:hAnsi="Times New Roman"/>
          </w:rPr>
          <w:t>Decreto nº 4.074/2002</w:t>
        </w:r>
      </w:hyperlink>
      <w:r w:rsidRPr="00173DB4">
        <w:rPr>
          <w:rFonts w:ascii="Times New Roman" w:hAnsi="Times New Roman"/>
        </w:rPr>
        <w:t>, em seu artigo 41, determina que as empresas com produtos agrotóxicos, componentes e afins registrados no Brasil apresentem</w:t>
      </w:r>
      <w:r>
        <w:rPr>
          <w:rFonts w:ascii="Times New Roman" w:hAnsi="Times New Roman"/>
        </w:rPr>
        <w:t>,</w:t>
      </w:r>
      <w:r w:rsidRPr="00173DB4">
        <w:rPr>
          <w:rFonts w:ascii="Times New Roman" w:hAnsi="Times New Roman"/>
        </w:rPr>
        <w:t xml:space="preserve"> semestralmente</w:t>
      </w:r>
      <w:r>
        <w:rPr>
          <w:rFonts w:ascii="Times New Roman" w:hAnsi="Times New Roman"/>
        </w:rPr>
        <w:t>,</w:t>
      </w:r>
      <w:r w:rsidRPr="00173DB4">
        <w:rPr>
          <w:rFonts w:ascii="Times New Roman" w:hAnsi="Times New Roman"/>
        </w:rPr>
        <w:t xml:space="preserve"> aos órgãos federais e estaduais responsáveis pelo controle e fiscalização dessas substâncias relatórios sobre as quantidades produzidas, importadas, exportadas e comercializadas des</w:t>
      </w:r>
      <w:r>
        <w:rPr>
          <w:rFonts w:ascii="Times New Roman" w:hAnsi="Times New Roman"/>
        </w:rPr>
        <w:t>s</w:t>
      </w:r>
      <w:r w:rsidRPr="00173DB4">
        <w:rPr>
          <w:rFonts w:ascii="Times New Roman" w:hAnsi="Times New Roman"/>
        </w:rPr>
        <w:t>es produtos.</w:t>
      </w:r>
    </w:p>
  </w:footnote>
  <w:footnote w:id="14">
    <w:p w14:paraId="202DA0A1" w14:textId="77777777" w:rsidR="000D031D" w:rsidRPr="00A528EF" w:rsidRDefault="000D031D" w:rsidP="00977B76">
      <w:pPr>
        <w:pStyle w:val="Textodenotaderodap"/>
        <w:jc w:val="both"/>
        <w:rPr>
          <w:rFonts w:ascii="Times New Roman" w:hAnsi="Times New Roman"/>
        </w:rPr>
      </w:pPr>
      <w:r w:rsidRPr="00A528EF">
        <w:rPr>
          <w:rStyle w:val="Refdenotaderodap"/>
          <w:rFonts w:ascii="Times New Roman" w:hAnsi="Times New Roman"/>
        </w:rPr>
        <w:footnoteRef/>
      </w:r>
      <w:r w:rsidRPr="00A528EF">
        <w:rPr>
          <w:rFonts w:ascii="Times New Roman" w:hAnsi="Times New Roman"/>
        </w:rPr>
        <w:t xml:space="preserve"> </w:t>
      </w:r>
      <w:r>
        <w:rPr>
          <w:rFonts w:ascii="Times New Roman" w:hAnsi="Times New Roman"/>
        </w:rPr>
        <w:t>A classificação quanto à periculosidade é, assim, definida</w:t>
      </w:r>
      <w:r w:rsidRPr="00A528EF">
        <w:rPr>
          <w:rFonts w:ascii="Times New Roman" w:hAnsi="Times New Roman"/>
        </w:rPr>
        <w:t>: produtos altamente perigosos ao meio ambiente (Classe I), produtos muito perigosos ao meio ambiente (Classe II), produtos perigosos ao meio ambiente (Classe III) e produtos pouco perigosos ao meio ambiente (Classe IV)</w:t>
      </w:r>
      <w:r>
        <w:rPr>
          <w:rFonts w:ascii="Times New Roman" w:hAnsi="Times New Roman"/>
        </w:rPr>
        <w:t>.</w:t>
      </w:r>
    </w:p>
  </w:footnote>
  <w:footnote w:id="15">
    <w:p w14:paraId="1177FADC" w14:textId="77777777" w:rsidR="000D031D" w:rsidRPr="00DF5FEC" w:rsidRDefault="000D031D" w:rsidP="004E6491">
      <w:pPr>
        <w:pStyle w:val="Textodenotaderodap"/>
        <w:jc w:val="both"/>
        <w:rPr>
          <w:rFonts w:ascii="Times New Roman" w:hAnsi="Times New Roman"/>
          <w:shd w:val="clear" w:color="auto" w:fill="FFFFFF"/>
        </w:rPr>
      </w:pPr>
      <w:r w:rsidRPr="00DF5FEC">
        <w:rPr>
          <w:rStyle w:val="Refdenotaderodap"/>
          <w:rFonts w:ascii="Times New Roman" w:hAnsi="Times New Roman"/>
        </w:rPr>
        <w:footnoteRef/>
      </w:r>
      <w:r w:rsidRPr="00DF5FEC">
        <w:rPr>
          <w:rFonts w:ascii="Times New Roman" w:hAnsi="Times New Roman"/>
        </w:rPr>
        <w:t xml:space="preserve"> Em agosto de 2018, a </w:t>
      </w:r>
      <w:r w:rsidRPr="00DF5FEC">
        <w:rPr>
          <w:rFonts w:ascii="Times New Roman" w:hAnsi="Times New Roman"/>
          <w:shd w:val="clear" w:color="auto" w:fill="FFFFFF"/>
        </w:rPr>
        <w:t>juíza federal substituta, Luciana Raquel Tolentino de Moura, da 7ª Vara do Distrito Federal, determinou que a União não conceda novos registros de produtos que contenham o glifosato como ingrediente ativo. A decisão provocou inúmeras manifestações dos ruralistas, entre eles, do então Ministro da Agricultura, um dos maiores produtores de soja no Mato Grosso. Em poucos dias, a liminar judicial foi cassada e o uso liberado. Recentemente, o governo federal tem adotado uma postura deliberada de aumento das autorizações para comercialização novos produtos no mercado.</w:t>
      </w:r>
    </w:p>
  </w:footnote>
  <w:footnote w:id="16">
    <w:p w14:paraId="15B782C0" w14:textId="77777777" w:rsidR="000D031D" w:rsidRPr="00DF5FEC" w:rsidRDefault="000D031D" w:rsidP="00977B76">
      <w:pPr>
        <w:pStyle w:val="Textodenotaderodap"/>
        <w:jc w:val="both"/>
        <w:rPr>
          <w:rFonts w:ascii="Times New Roman" w:hAnsi="Times New Roman"/>
        </w:rPr>
      </w:pPr>
      <w:r w:rsidRPr="00DF5FEC">
        <w:rPr>
          <w:rStyle w:val="Refdenotaderodap"/>
          <w:rFonts w:ascii="Times New Roman" w:hAnsi="Times New Roman"/>
        </w:rPr>
        <w:footnoteRef/>
      </w:r>
      <w:r w:rsidRPr="00DF5FEC">
        <w:rPr>
          <w:rFonts w:ascii="Times New Roman" w:hAnsi="Times New Roman"/>
        </w:rPr>
        <w:t xml:space="preserve"> Sobre esses temas, sugere-se a leitura de </w:t>
      </w:r>
      <w:r w:rsidRPr="00DF5FEC">
        <w:rPr>
          <w:rFonts w:ascii="Times New Roman" w:eastAsia="Times New Roman" w:hAnsi="Times New Roman"/>
          <w:lang w:eastAsia="pt-BR"/>
        </w:rPr>
        <w:t xml:space="preserve">Moreira </w:t>
      </w:r>
      <w:r w:rsidRPr="00DF5FEC">
        <w:rPr>
          <w:rFonts w:ascii="Times New Roman" w:eastAsia="Times New Roman" w:hAnsi="Times New Roman"/>
          <w:i/>
          <w:lang w:eastAsia="pt-BR"/>
        </w:rPr>
        <w:t>et al</w:t>
      </w:r>
      <w:r w:rsidRPr="00DF5FEC">
        <w:rPr>
          <w:rFonts w:ascii="Times New Roman" w:eastAsia="Times New Roman" w:hAnsi="Times New Roman"/>
          <w:lang w:eastAsia="pt-BR"/>
        </w:rPr>
        <w:t>. (2012), Lima (2015) e Pereira (2016).</w:t>
      </w:r>
    </w:p>
  </w:footnote>
  <w:footnote w:id="17">
    <w:p w14:paraId="5C679BAA" w14:textId="77777777" w:rsidR="008F6A22" w:rsidRPr="00DF5FEC" w:rsidRDefault="008F6A22" w:rsidP="008F6A22">
      <w:pPr>
        <w:pStyle w:val="Textodenotaderodap"/>
        <w:jc w:val="both"/>
        <w:rPr>
          <w:rFonts w:ascii="Times New Roman" w:hAnsi="Times New Roman"/>
          <w:shd w:val="clear" w:color="auto" w:fill="FFFFFF"/>
        </w:rPr>
      </w:pPr>
      <w:r w:rsidRPr="00DF5FEC">
        <w:rPr>
          <w:rFonts w:ascii="Times New Roman" w:hAnsi="Times New Roman"/>
          <w:shd w:val="clear" w:color="auto" w:fill="FFFFFF"/>
          <w:vertAlign w:val="superscript"/>
        </w:rPr>
        <w:footnoteRef/>
      </w:r>
      <w:r w:rsidRPr="00DF5FEC">
        <w:rPr>
          <w:rFonts w:ascii="Times New Roman" w:hAnsi="Times New Roman"/>
          <w:shd w:val="clear" w:color="auto" w:fill="FFFFFF"/>
        </w:rPr>
        <w:t xml:space="preserve"> A pesquisa polêmica realizada por Palma (2011) identificou a contaminação por agrotóxico, em 100% das amostras coletadas de leite materno, no município de Lucas do Rio Verde.</w:t>
      </w:r>
    </w:p>
  </w:footnote>
  <w:footnote w:id="18">
    <w:p w14:paraId="3C1FCA14" w14:textId="77777777" w:rsidR="000D031D" w:rsidRPr="00430CFE" w:rsidRDefault="000D031D" w:rsidP="00977B76">
      <w:pPr>
        <w:pStyle w:val="Textodenotaderodap"/>
        <w:jc w:val="both"/>
        <w:rPr>
          <w:rFonts w:ascii="Times New Roman" w:hAnsi="Times New Roman"/>
        </w:rPr>
      </w:pPr>
      <w:r w:rsidRPr="00430CFE">
        <w:rPr>
          <w:rStyle w:val="Refdenotaderodap"/>
          <w:rFonts w:ascii="Times New Roman" w:hAnsi="Times New Roman"/>
        </w:rPr>
        <w:footnoteRef/>
      </w:r>
      <w:r w:rsidRPr="00430CFE">
        <w:rPr>
          <w:rFonts w:ascii="Times New Roman" w:hAnsi="Times New Roman"/>
        </w:rPr>
        <w:t xml:space="preserve"> Segundo notícia veiculada na imprensa local, um</w:t>
      </w:r>
      <w:r w:rsidRPr="00430CFE">
        <w:rPr>
          <w:rFonts w:ascii="Times New Roman" w:hAnsi="Times New Roman"/>
          <w:shd w:val="clear" w:color="auto" w:fill="FFFFFF"/>
        </w:rPr>
        <w:t xml:space="preserve"> produtor rural, de Poconé, </w:t>
      </w:r>
      <w:r>
        <w:rPr>
          <w:rFonts w:ascii="Times New Roman" w:hAnsi="Times New Roman"/>
          <w:shd w:val="clear" w:color="auto" w:fill="FFFFFF"/>
        </w:rPr>
        <w:t>município do Pantanal mato-grossense, recebeu</w:t>
      </w:r>
      <w:r w:rsidRPr="00430CFE">
        <w:rPr>
          <w:rFonts w:ascii="Times New Roman" w:hAnsi="Times New Roman"/>
          <w:shd w:val="clear" w:color="auto" w:fill="FFFFFF"/>
        </w:rPr>
        <w:t xml:space="preserve"> o título de campeão estadual de produtividade pelo Comitê Estratégico de Soja Brasil (CESB) edição 2017/2018. Com uma produção de 100,41 sacas por hectare, ele atingiu </w:t>
      </w:r>
      <w:r>
        <w:rPr>
          <w:rFonts w:ascii="Times New Roman" w:hAnsi="Times New Roman"/>
          <w:shd w:val="clear" w:color="auto" w:fill="FFFFFF"/>
        </w:rPr>
        <w:t>a produtividade</w:t>
      </w:r>
      <w:r w:rsidRPr="00430CFE">
        <w:rPr>
          <w:rFonts w:ascii="Times New Roman" w:hAnsi="Times New Roman"/>
          <w:shd w:val="clear" w:color="auto" w:fill="FFFFFF"/>
        </w:rPr>
        <w:t xml:space="preserve"> recorde em Mato Grosso</w:t>
      </w:r>
      <w:r>
        <w:rPr>
          <w:rFonts w:ascii="Times New Roman" w:hAnsi="Times New Roman"/>
          <w:shd w:val="clear" w:color="auto" w:fill="FFFFFF"/>
        </w:rPr>
        <w:t xml:space="preserve"> (PETROLI, 2018)</w:t>
      </w:r>
      <w:r w:rsidRPr="00430CFE">
        <w:rPr>
          <w:rFonts w:ascii="Times New Roman" w:hAnsi="Times New Roman"/>
          <w:shd w:val="clear" w:color="auto" w:fill="FFFFFF"/>
        </w:rPr>
        <w:t>.</w:t>
      </w:r>
    </w:p>
  </w:footnote>
  <w:footnote w:id="19">
    <w:p w14:paraId="2A98424D" w14:textId="77777777" w:rsidR="000D031D" w:rsidRPr="006242AD" w:rsidRDefault="000D031D" w:rsidP="00977B76">
      <w:pPr>
        <w:pStyle w:val="Textodenotaderodap"/>
        <w:jc w:val="both"/>
        <w:rPr>
          <w:rFonts w:ascii="Times New Roman" w:hAnsi="Times New Roman"/>
        </w:rPr>
      </w:pPr>
      <w:r w:rsidRPr="006242AD">
        <w:rPr>
          <w:rStyle w:val="Refdenotaderodap"/>
          <w:rFonts w:ascii="Times New Roman" w:hAnsi="Times New Roman"/>
        </w:rPr>
        <w:footnoteRef/>
      </w:r>
      <w:r w:rsidRPr="006242AD">
        <w:rPr>
          <w:rFonts w:ascii="Times New Roman" w:hAnsi="Times New Roman"/>
        </w:rPr>
        <w:t xml:space="preserve"> O SLAPR entrou em operação no estado em 2000, sob responsabilidade da Fundação Estadual de Meio Ambiente (FEMA), que foi extinta em 2005. Atualmente, o Licenciamento Ambiental </w:t>
      </w:r>
      <w:r>
        <w:rPr>
          <w:rFonts w:ascii="Times New Roman" w:hAnsi="Times New Roman"/>
        </w:rPr>
        <w:t xml:space="preserve">está sob responsabilidade </w:t>
      </w:r>
      <w:r w:rsidRPr="006242AD">
        <w:rPr>
          <w:rFonts w:ascii="Times New Roman" w:hAnsi="Times New Roman"/>
        </w:rPr>
        <w:t xml:space="preserve">Secretaria Estadual de Meio Ambiente </w:t>
      </w:r>
      <w:r>
        <w:rPr>
          <w:rFonts w:ascii="Times New Roman" w:hAnsi="Times New Roman"/>
        </w:rPr>
        <w:t>(</w:t>
      </w:r>
      <w:r w:rsidRPr="006242AD">
        <w:rPr>
          <w:rFonts w:ascii="Times New Roman" w:hAnsi="Times New Roman"/>
        </w:rPr>
        <w:t>SEMA</w:t>
      </w:r>
      <w:r>
        <w:rPr>
          <w:rFonts w:ascii="Times New Roman" w:hAnsi="Times New Roman"/>
        </w:rPr>
        <w:t>)</w:t>
      </w:r>
      <w:r w:rsidRPr="006242AD">
        <w:rPr>
          <w:rFonts w:ascii="Times New Roman" w:hAnsi="Times New Roman"/>
        </w:rPr>
        <w:t>.</w:t>
      </w:r>
    </w:p>
  </w:footnote>
  <w:footnote w:id="20">
    <w:p w14:paraId="2E344011" w14:textId="77777777" w:rsidR="000D031D" w:rsidRPr="00C474F1" w:rsidRDefault="000D031D" w:rsidP="00977B76">
      <w:pPr>
        <w:pStyle w:val="Textodenotaderodap"/>
        <w:jc w:val="both"/>
        <w:rPr>
          <w:rFonts w:ascii="Times New Roman" w:hAnsi="Times New Roman"/>
        </w:rPr>
      </w:pPr>
      <w:r w:rsidRPr="006242AD">
        <w:rPr>
          <w:rStyle w:val="Refdenotaderodap"/>
          <w:rFonts w:ascii="Times New Roman" w:hAnsi="Times New Roman"/>
        </w:rPr>
        <w:footnoteRef/>
      </w:r>
      <w:r w:rsidRPr="006242AD">
        <w:rPr>
          <w:rFonts w:ascii="Times New Roman" w:hAnsi="Times New Roman"/>
        </w:rPr>
        <w:t xml:space="preserve"> A Operação Curupira de combate à corrupção ambiental na Amazônia foi deflagrada em 2005 pela Polícia</w:t>
      </w:r>
      <w:r>
        <w:rPr>
          <w:rFonts w:ascii="Times New Roman" w:hAnsi="Times New Roman"/>
        </w:rPr>
        <w:t xml:space="preserve"> Federal, para combater ações de </w:t>
      </w:r>
      <w:r w:rsidRPr="00C474F1">
        <w:rPr>
          <w:rFonts w:ascii="Times New Roman" w:hAnsi="Times New Roman"/>
        </w:rPr>
        <w:t>aprovação de projetos irregulares de desmatamento, de extração de madeira em áreas proibidas e transporte ilegal de cargas madeireiras. Nessa operação, foram presas mais de 80 pessoas, dentre eles</w:t>
      </w:r>
      <w:r>
        <w:rPr>
          <w:rFonts w:ascii="Times New Roman" w:hAnsi="Times New Roman"/>
        </w:rPr>
        <w:t>,</w:t>
      </w:r>
      <w:r w:rsidRPr="00C474F1">
        <w:rPr>
          <w:rFonts w:ascii="Times New Roman" w:hAnsi="Times New Roman"/>
        </w:rPr>
        <w:t xml:space="preserve"> funcionários do IBAMA, o Secretário Estadual de Meio Ambiente e o presidente da FEMA</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7FCD" w14:textId="77777777" w:rsidR="000D031D" w:rsidRDefault="000D031D">
    <w:pPr>
      <w:pBdr>
        <w:top w:val="nil"/>
        <w:left w:val="nil"/>
        <w:bottom w:val="nil"/>
        <w:right w:val="nil"/>
        <w:between w:val="nil"/>
      </w:pBdr>
      <w:tabs>
        <w:tab w:val="center" w:pos="4252"/>
        <w:tab w:val="right" w:pos="8504"/>
      </w:tabs>
      <w:spacing w:after="0" w:line="240" w:lineRule="auto"/>
      <w:rPr>
        <w:color w:val="008000"/>
        <w:sz w:val="6"/>
        <w:szCs w:val="6"/>
      </w:rPr>
    </w:pPr>
    <w:r>
      <w:rPr>
        <w:noProof/>
      </w:rPr>
      <w:drawing>
        <wp:anchor distT="0" distB="0" distL="114300" distR="114300" simplePos="0" relativeHeight="251658240" behindDoc="0" locked="0" layoutInCell="1" hidden="0" allowOverlap="1" wp14:anchorId="1D58364B" wp14:editId="5C278B0D">
          <wp:simplePos x="0" y="0"/>
          <wp:positionH relativeFrom="column">
            <wp:posOffset>-355599</wp:posOffset>
          </wp:positionH>
          <wp:positionV relativeFrom="paragraph">
            <wp:posOffset>114300</wp:posOffset>
          </wp:positionV>
          <wp:extent cx="6531610" cy="774065"/>
          <wp:effectExtent l="0" t="0" r="0" b="0"/>
          <wp:wrapNone/>
          <wp:docPr id="28" name="image1.png" descr="C:\Users\Maria Paula\AppData\Local\Microsoft\Windows\INetCache\Content.Word\CABEÇALHO ARTIGOS.PNG"/>
          <wp:cNvGraphicFramePr/>
          <a:graphic xmlns:a="http://schemas.openxmlformats.org/drawingml/2006/main">
            <a:graphicData uri="http://schemas.openxmlformats.org/drawingml/2006/picture">
              <pic:pic xmlns:pic="http://schemas.openxmlformats.org/drawingml/2006/picture">
                <pic:nvPicPr>
                  <pic:cNvPr id="0" name="image1.png" descr="C:\Users\Maria Paula\AppData\Local\Microsoft\Windows\INetCache\Content.Word\CABEÇALHO ARTIGOS.PNG"/>
                  <pic:cNvPicPr preferRelativeResize="0"/>
                </pic:nvPicPr>
                <pic:blipFill>
                  <a:blip r:embed="rId1"/>
                  <a:srcRect/>
                  <a:stretch>
                    <a:fillRect/>
                  </a:stretch>
                </pic:blipFill>
                <pic:spPr>
                  <a:xfrm>
                    <a:off x="0" y="0"/>
                    <a:ext cx="6531610" cy="77406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BE9"/>
    <w:rsid w:val="00003367"/>
    <w:rsid w:val="000130EB"/>
    <w:rsid w:val="00014812"/>
    <w:rsid w:val="00016D16"/>
    <w:rsid w:val="000204BB"/>
    <w:rsid w:val="00022C0F"/>
    <w:rsid w:val="0003097C"/>
    <w:rsid w:val="00036596"/>
    <w:rsid w:val="0004216C"/>
    <w:rsid w:val="00057B3D"/>
    <w:rsid w:val="0006092F"/>
    <w:rsid w:val="00072104"/>
    <w:rsid w:val="00075A54"/>
    <w:rsid w:val="00081761"/>
    <w:rsid w:val="00082B00"/>
    <w:rsid w:val="000B24F3"/>
    <w:rsid w:val="000B3546"/>
    <w:rsid w:val="000B740B"/>
    <w:rsid w:val="000D031D"/>
    <w:rsid w:val="000D34C2"/>
    <w:rsid w:val="000D3CDE"/>
    <w:rsid w:val="000D4587"/>
    <w:rsid w:val="000F60FF"/>
    <w:rsid w:val="00101488"/>
    <w:rsid w:val="00160E32"/>
    <w:rsid w:val="00174927"/>
    <w:rsid w:val="00175AC3"/>
    <w:rsid w:val="00182E89"/>
    <w:rsid w:val="00190468"/>
    <w:rsid w:val="00197281"/>
    <w:rsid w:val="001A0FB4"/>
    <w:rsid w:val="001D5EEE"/>
    <w:rsid w:val="001E64DC"/>
    <w:rsid w:val="001E743F"/>
    <w:rsid w:val="001F7CF4"/>
    <w:rsid w:val="00201D02"/>
    <w:rsid w:val="00227537"/>
    <w:rsid w:val="00266CAE"/>
    <w:rsid w:val="00276FE6"/>
    <w:rsid w:val="0028621B"/>
    <w:rsid w:val="002A08E4"/>
    <w:rsid w:val="002B14C4"/>
    <w:rsid w:val="002B1B63"/>
    <w:rsid w:val="002B453E"/>
    <w:rsid w:val="002B5F7B"/>
    <w:rsid w:val="002C1F81"/>
    <w:rsid w:val="002C3148"/>
    <w:rsid w:val="002E259D"/>
    <w:rsid w:val="002F6979"/>
    <w:rsid w:val="003045D9"/>
    <w:rsid w:val="00304B94"/>
    <w:rsid w:val="00307A07"/>
    <w:rsid w:val="00307C68"/>
    <w:rsid w:val="00312CB2"/>
    <w:rsid w:val="00321D60"/>
    <w:rsid w:val="00323572"/>
    <w:rsid w:val="0033429B"/>
    <w:rsid w:val="003353BA"/>
    <w:rsid w:val="00340347"/>
    <w:rsid w:val="003412F5"/>
    <w:rsid w:val="00341C96"/>
    <w:rsid w:val="00357EB5"/>
    <w:rsid w:val="00363958"/>
    <w:rsid w:val="00366807"/>
    <w:rsid w:val="00366ED7"/>
    <w:rsid w:val="00380EA5"/>
    <w:rsid w:val="00395ED5"/>
    <w:rsid w:val="003A00FC"/>
    <w:rsid w:val="003A582A"/>
    <w:rsid w:val="003B5751"/>
    <w:rsid w:val="003C1A99"/>
    <w:rsid w:val="003C2239"/>
    <w:rsid w:val="003C6A6C"/>
    <w:rsid w:val="003D1510"/>
    <w:rsid w:val="003D2383"/>
    <w:rsid w:val="003D3179"/>
    <w:rsid w:val="004048F3"/>
    <w:rsid w:val="00405A42"/>
    <w:rsid w:val="00411F35"/>
    <w:rsid w:val="00430521"/>
    <w:rsid w:val="00430B58"/>
    <w:rsid w:val="004316DE"/>
    <w:rsid w:val="00433FFD"/>
    <w:rsid w:val="00437F8A"/>
    <w:rsid w:val="00441B3A"/>
    <w:rsid w:val="00454339"/>
    <w:rsid w:val="00454BAE"/>
    <w:rsid w:val="00462B02"/>
    <w:rsid w:val="00464C88"/>
    <w:rsid w:val="00474514"/>
    <w:rsid w:val="004A67C8"/>
    <w:rsid w:val="004B0F0A"/>
    <w:rsid w:val="004B3F96"/>
    <w:rsid w:val="004B69F8"/>
    <w:rsid w:val="004C7A81"/>
    <w:rsid w:val="004E5DFA"/>
    <w:rsid w:val="004E6491"/>
    <w:rsid w:val="004F116A"/>
    <w:rsid w:val="00507AB1"/>
    <w:rsid w:val="00516EE1"/>
    <w:rsid w:val="00523E4A"/>
    <w:rsid w:val="0054131D"/>
    <w:rsid w:val="00555932"/>
    <w:rsid w:val="00566C14"/>
    <w:rsid w:val="0059146F"/>
    <w:rsid w:val="0059675E"/>
    <w:rsid w:val="005A12FA"/>
    <w:rsid w:val="005A3A41"/>
    <w:rsid w:val="005B6DFC"/>
    <w:rsid w:val="005E0485"/>
    <w:rsid w:val="005E534D"/>
    <w:rsid w:val="005F2AF1"/>
    <w:rsid w:val="005F6992"/>
    <w:rsid w:val="00605621"/>
    <w:rsid w:val="00612D93"/>
    <w:rsid w:val="006369DD"/>
    <w:rsid w:val="0064334E"/>
    <w:rsid w:val="006463BB"/>
    <w:rsid w:val="00657C0D"/>
    <w:rsid w:val="00663748"/>
    <w:rsid w:val="00663D8F"/>
    <w:rsid w:val="00663DC8"/>
    <w:rsid w:val="00665292"/>
    <w:rsid w:val="00667BE9"/>
    <w:rsid w:val="006744A9"/>
    <w:rsid w:val="0067789F"/>
    <w:rsid w:val="00682DE7"/>
    <w:rsid w:val="0069129C"/>
    <w:rsid w:val="006A1C4F"/>
    <w:rsid w:val="006A3131"/>
    <w:rsid w:val="006A4C7D"/>
    <w:rsid w:val="006B4276"/>
    <w:rsid w:val="006B4EF2"/>
    <w:rsid w:val="006C1475"/>
    <w:rsid w:val="006C4BC6"/>
    <w:rsid w:val="006D4AB2"/>
    <w:rsid w:val="006E1521"/>
    <w:rsid w:val="006E52B9"/>
    <w:rsid w:val="006E5BAD"/>
    <w:rsid w:val="00700FBB"/>
    <w:rsid w:val="00701FFE"/>
    <w:rsid w:val="00702B44"/>
    <w:rsid w:val="00733D3A"/>
    <w:rsid w:val="00742C43"/>
    <w:rsid w:val="00743B4D"/>
    <w:rsid w:val="00744DA8"/>
    <w:rsid w:val="00765D47"/>
    <w:rsid w:val="0076756F"/>
    <w:rsid w:val="00782C36"/>
    <w:rsid w:val="00782D18"/>
    <w:rsid w:val="007B0CCB"/>
    <w:rsid w:val="007C4308"/>
    <w:rsid w:val="007E0253"/>
    <w:rsid w:val="007E586F"/>
    <w:rsid w:val="007F106E"/>
    <w:rsid w:val="007F7091"/>
    <w:rsid w:val="008032F6"/>
    <w:rsid w:val="008061E0"/>
    <w:rsid w:val="0081612E"/>
    <w:rsid w:val="00821082"/>
    <w:rsid w:val="0082389E"/>
    <w:rsid w:val="00825D87"/>
    <w:rsid w:val="008347BD"/>
    <w:rsid w:val="00836731"/>
    <w:rsid w:val="00876B88"/>
    <w:rsid w:val="00880DC0"/>
    <w:rsid w:val="0088141F"/>
    <w:rsid w:val="00884EC7"/>
    <w:rsid w:val="00887294"/>
    <w:rsid w:val="008B13D9"/>
    <w:rsid w:val="008B1709"/>
    <w:rsid w:val="008E4308"/>
    <w:rsid w:val="008F0378"/>
    <w:rsid w:val="008F6A22"/>
    <w:rsid w:val="00904C29"/>
    <w:rsid w:val="00905263"/>
    <w:rsid w:val="009149E6"/>
    <w:rsid w:val="00917EC9"/>
    <w:rsid w:val="00933D64"/>
    <w:rsid w:val="00943AF3"/>
    <w:rsid w:val="00944565"/>
    <w:rsid w:val="00954A49"/>
    <w:rsid w:val="00970044"/>
    <w:rsid w:val="00976859"/>
    <w:rsid w:val="00977B76"/>
    <w:rsid w:val="0098292B"/>
    <w:rsid w:val="009B4272"/>
    <w:rsid w:val="009B6367"/>
    <w:rsid w:val="009C0F6E"/>
    <w:rsid w:val="009C48DD"/>
    <w:rsid w:val="009C4C8B"/>
    <w:rsid w:val="009C75E5"/>
    <w:rsid w:val="009D55AC"/>
    <w:rsid w:val="009E08DE"/>
    <w:rsid w:val="009E734A"/>
    <w:rsid w:val="009F2A93"/>
    <w:rsid w:val="009F5A45"/>
    <w:rsid w:val="00A03865"/>
    <w:rsid w:val="00A060A1"/>
    <w:rsid w:val="00A275C7"/>
    <w:rsid w:val="00A313F2"/>
    <w:rsid w:val="00A534D9"/>
    <w:rsid w:val="00A53DE5"/>
    <w:rsid w:val="00A57455"/>
    <w:rsid w:val="00A73F77"/>
    <w:rsid w:val="00A938FB"/>
    <w:rsid w:val="00AA1EF2"/>
    <w:rsid w:val="00AA53C9"/>
    <w:rsid w:val="00AB2913"/>
    <w:rsid w:val="00AC34A0"/>
    <w:rsid w:val="00AC67A5"/>
    <w:rsid w:val="00AF1D77"/>
    <w:rsid w:val="00AF4EA3"/>
    <w:rsid w:val="00AF5703"/>
    <w:rsid w:val="00B00301"/>
    <w:rsid w:val="00B225C9"/>
    <w:rsid w:val="00B22804"/>
    <w:rsid w:val="00B32A38"/>
    <w:rsid w:val="00B36620"/>
    <w:rsid w:val="00B477FC"/>
    <w:rsid w:val="00B77666"/>
    <w:rsid w:val="00B83278"/>
    <w:rsid w:val="00B8583D"/>
    <w:rsid w:val="00B931CC"/>
    <w:rsid w:val="00B936EA"/>
    <w:rsid w:val="00B97453"/>
    <w:rsid w:val="00B9770E"/>
    <w:rsid w:val="00BA0B34"/>
    <w:rsid w:val="00BA13CE"/>
    <w:rsid w:val="00BA4440"/>
    <w:rsid w:val="00BA640B"/>
    <w:rsid w:val="00BA6EBA"/>
    <w:rsid w:val="00BB519D"/>
    <w:rsid w:val="00BC24BE"/>
    <w:rsid w:val="00BE4953"/>
    <w:rsid w:val="00BF4B3C"/>
    <w:rsid w:val="00BF7396"/>
    <w:rsid w:val="00C10220"/>
    <w:rsid w:val="00C14A35"/>
    <w:rsid w:val="00C16646"/>
    <w:rsid w:val="00C21FFB"/>
    <w:rsid w:val="00C31051"/>
    <w:rsid w:val="00C35AAB"/>
    <w:rsid w:val="00C40D1F"/>
    <w:rsid w:val="00C44674"/>
    <w:rsid w:val="00C65C22"/>
    <w:rsid w:val="00C8108C"/>
    <w:rsid w:val="00C93789"/>
    <w:rsid w:val="00C9438E"/>
    <w:rsid w:val="00CA0E6D"/>
    <w:rsid w:val="00CD1F07"/>
    <w:rsid w:val="00CD3072"/>
    <w:rsid w:val="00CE0D5B"/>
    <w:rsid w:val="00CF49AA"/>
    <w:rsid w:val="00CF56A4"/>
    <w:rsid w:val="00CF65E0"/>
    <w:rsid w:val="00D030AE"/>
    <w:rsid w:val="00D14517"/>
    <w:rsid w:val="00D273CC"/>
    <w:rsid w:val="00D30294"/>
    <w:rsid w:val="00D40B8E"/>
    <w:rsid w:val="00D4308E"/>
    <w:rsid w:val="00D46A24"/>
    <w:rsid w:val="00D55B81"/>
    <w:rsid w:val="00D74910"/>
    <w:rsid w:val="00D813AF"/>
    <w:rsid w:val="00D8310F"/>
    <w:rsid w:val="00DA4462"/>
    <w:rsid w:val="00DA5DC1"/>
    <w:rsid w:val="00DC2051"/>
    <w:rsid w:val="00DD555C"/>
    <w:rsid w:val="00DD5717"/>
    <w:rsid w:val="00DD6A80"/>
    <w:rsid w:val="00DE697F"/>
    <w:rsid w:val="00DF1481"/>
    <w:rsid w:val="00DF5FEC"/>
    <w:rsid w:val="00E000B0"/>
    <w:rsid w:val="00E02E55"/>
    <w:rsid w:val="00E10D45"/>
    <w:rsid w:val="00E41799"/>
    <w:rsid w:val="00E679EE"/>
    <w:rsid w:val="00E75E04"/>
    <w:rsid w:val="00E76551"/>
    <w:rsid w:val="00E8657B"/>
    <w:rsid w:val="00E87609"/>
    <w:rsid w:val="00E9381C"/>
    <w:rsid w:val="00E94315"/>
    <w:rsid w:val="00E96AA5"/>
    <w:rsid w:val="00EA51AD"/>
    <w:rsid w:val="00EB1771"/>
    <w:rsid w:val="00EC298C"/>
    <w:rsid w:val="00ED3BF0"/>
    <w:rsid w:val="00EE792E"/>
    <w:rsid w:val="00EF3292"/>
    <w:rsid w:val="00EF7869"/>
    <w:rsid w:val="00F05C2F"/>
    <w:rsid w:val="00F15983"/>
    <w:rsid w:val="00F438D7"/>
    <w:rsid w:val="00F63E68"/>
    <w:rsid w:val="00F64C1E"/>
    <w:rsid w:val="00F65CB3"/>
    <w:rsid w:val="00F85230"/>
    <w:rsid w:val="00F95B6F"/>
    <w:rsid w:val="00FA433F"/>
    <w:rsid w:val="00FB6041"/>
    <w:rsid w:val="00FC3E0F"/>
    <w:rsid w:val="00FC4B46"/>
    <w:rsid w:val="00FD56DB"/>
    <w:rsid w:val="00FD6736"/>
    <w:rsid w:val="00FF1C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2A4D2"/>
  <w15:docId w15:val="{583D3D16-7F85-4952-B35B-3B44A62A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2E12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12C1"/>
  </w:style>
  <w:style w:type="paragraph" w:styleId="Rodap">
    <w:name w:val="footer"/>
    <w:basedOn w:val="Normal"/>
    <w:link w:val="RodapChar"/>
    <w:uiPriority w:val="99"/>
    <w:unhideWhenUsed/>
    <w:rsid w:val="002E12C1"/>
    <w:pPr>
      <w:tabs>
        <w:tab w:val="center" w:pos="4252"/>
        <w:tab w:val="right" w:pos="8504"/>
      </w:tabs>
      <w:spacing w:after="0" w:line="240" w:lineRule="auto"/>
    </w:pPr>
  </w:style>
  <w:style w:type="character" w:customStyle="1" w:styleId="RodapChar">
    <w:name w:val="Rodapé Char"/>
    <w:basedOn w:val="Fontepargpadro"/>
    <w:link w:val="Rodap"/>
    <w:uiPriority w:val="99"/>
    <w:rsid w:val="002E12C1"/>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rsid w:val="00977B76"/>
    <w:pPr>
      <w:spacing w:after="0" w:line="240" w:lineRule="auto"/>
    </w:pPr>
    <w:rPr>
      <w:rFonts w:cs="Times New Roman"/>
      <w:sz w:val="20"/>
      <w:szCs w:val="20"/>
      <w:lang w:eastAsia="en-US"/>
    </w:rPr>
  </w:style>
  <w:style w:type="character" w:customStyle="1" w:styleId="TextodenotaderodapChar">
    <w:name w:val="Texto de nota de rodapé Char"/>
    <w:basedOn w:val="Fontepargpadro"/>
    <w:link w:val="Textodenotaderodap"/>
    <w:uiPriority w:val="99"/>
    <w:rsid w:val="00977B76"/>
    <w:rPr>
      <w:rFonts w:cs="Times New Roman"/>
      <w:sz w:val="20"/>
      <w:szCs w:val="20"/>
      <w:lang w:eastAsia="en-US"/>
    </w:rPr>
  </w:style>
  <w:style w:type="character" w:styleId="Refdenotaderodap">
    <w:name w:val="footnote reference"/>
    <w:uiPriority w:val="99"/>
    <w:semiHidden/>
    <w:unhideWhenUsed/>
    <w:rsid w:val="00977B76"/>
    <w:rPr>
      <w:vertAlign w:val="superscript"/>
    </w:rPr>
  </w:style>
  <w:style w:type="paragraph" w:styleId="Legenda">
    <w:name w:val="caption"/>
    <w:basedOn w:val="Normal"/>
    <w:next w:val="Normal"/>
    <w:uiPriority w:val="35"/>
    <w:unhideWhenUsed/>
    <w:qFormat/>
    <w:rsid w:val="00977B76"/>
    <w:pPr>
      <w:spacing w:after="200" w:line="240" w:lineRule="auto"/>
    </w:pPr>
    <w:rPr>
      <w:rFonts w:cs="Times New Roman"/>
      <w:i/>
      <w:iCs/>
      <w:color w:val="44546A"/>
      <w:sz w:val="18"/>
      <w:szCs w:val="18"/>
      <w:lang w:eastAsia="en-US"/>
    </w:rPr>
  </w:style>
  <w:style w:type="character" w:styleId="Hyperlink">
    <w:name w:val="Hyperlink"/>
    <w:uiPriority w:val="99"/>
    <w:unhideWhenUsed/>
    <w:rsid w:val="00201D02"/>
    <w:rPr>
      <w:color w:val="0000FF"/>
      <w:u w:val="single"/>
    </w:rPr>
  </w:style>
  <w:style w:type="character" w:styleId="Forte">
    <w:name w:val="Strong"/>
    <w:uiPriority w:val="22"/>
    <w:qFormat/>
    <w:rsid w:val="00AC67A5"/>
    <w:rPr>
      <w:b/>
      <w:bCs/>
    </w:rPr>
  </w:style>
  <w:style w:type="character" w:styleId="nfase">
    <w:name w:val="Emphasis"/>
    <w:uiPriority w:val="20"/>
    <w:qFormat/>
    <w:rsid w:val="00AC67A5"/>
    <w:rPr>
      <w:i/>
      <w:iCs/>
    </w:rPr>
  </w:style>
  <w:style w:type="character" w:styleId="Refdecomentrio">
    <w:name w:val="annotation reference"/>
    <w:basedOn w:val="Fontepargpadro"/>
    <w:uiPriority w:val="99"/>
    <w:semiHidden/>
    <w:unhideWhenUsed/>
    <w:rsid w:val="00E679EE"/>
    <w:rPr>
      <w:sz w:val="16"/>
      <w:szCs w:val="16"/>
    </w:rPr>
  </w:style>
  <w:style w:type="paragraph" w:styleId="Textodecomentrio">
    <w:name w:val="annotation text"/>
    <w:basedOn w:val="Normal"/>
    <w:link w:val="TextodecomentrioChar"/>
    <w:uiPriority w:val="99"/>
    <w:semiHidden/>
    <w:unhideWhenUsed/>
    <w:rsid w:val="00E679E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679EE"/>
    <w:rPr>
      <w:sz w:val="20"/>
      <w:szCs w:val="20"/>
    </w:rPr>
  </w:style>
  <w:style w:type="paragraph" w:styleId="Assuntodocomentrio">
    <w:name w:val="annotation subject"/>
    <w:basedOn w:val="Textodecomentrio"/>
    <w:next w:val="Textodecomentrio"/>
    <w:link w:val="AssuntodocomentrioChar"/>
    <w:uiPriority w:val="99"/>
    <w:semiHidden/>
    <w:unhideWhenUsed/>
    <w:rsid w:val="00E679EE"/>
    <w:rPr>
      <w:b/>
      <w:bCs/>
    </w:rPr>
  </w:style>
  <w:style w:type="character" w:customStyle="1" w:styleId="AssuntodocomentrioChar">
    <w:name w:val="Assunto do comentário Char"/>
    <w:basedOn w:val="TextodecomentrioChar"/>
    <w:link w:val="Assuntodocomentrio"/>
    <w:uiPriority w:val="99"/>
    <w:semiHidden/>
    <w:rsid w:val="00E679EE"/>
    <w:rPr>
      <w:b/>
      <w:bCs/>
      <w:sz w:val="20"/>
      <w:szCs w:val="20"/>
    </w:rPr>
  </w:style>
  <w:style w:type="paragraph" w:styleId="Textodebalo">
    <w:name w:val="Balloon Text"/>
    <w:basedOn w:val="Normal"/>
    <w:link w:val="TextodebaloChar"/>
    <w:uiPriority w:val="99"/>
    <w:semiHidden/>
    <w:unhideWhenUsed/>
    <w:rsid w:val="00E679E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679EE"/>
    <w:rPr>
      <w:rFonts w:ascii="Segoe UI" w:hAnsi="Segoe UI" w:cs="Segoe UI"/>
      <w:sz w:val="18"/>
      <w:szCs w:val="18"/>
    </w:rPr>
  </w:style>
  <w:style w:type="paragraph" w:styleId="NormalWeb">
    <w:name w:val="Normal (Web)"/>
    <w:basedOn w:val="Normal"/>
    <w:uiPriority w:val="99"/>
    <w:unhideWhenUsed/>
    <w:rsid w:val="003D3179"/>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9C4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33495">
      <w:bodyDiv w:val="1"/>
      <w:marLeft w:val="0"/>
      <w:marRight w:val="0"/>
      <w:marTop w:val="0"/>
      <w:marBottom w:val="0"/>
      <w:divBdr>
        <w:top w:val="none" w:sz="0" w:space="0" w:color="auto"/>
        <w:left w:val="none" w:sz="0" w:space="0" w:color="auto"/>
        <w:bottom w:val="none" w:sz="0" w:space="0" w:color="auto"/>
        <w:right w:val="none" w:sz="0" w:space="0" w:color="auto"/>
      </w:divBdr>
    </w:div>
    <w:div w:id="141966967">
      <w:bodyDiv w:val="1"/>
      <w:marLeft w:val="0"/>
      <w:marRight w:val="0"/>
      <w:marTop w:val="0"/>
      <w:marBottom w:val="0"/>
      <w:divBdr>
        <w:top w:val="none" w:sz="0" w:space="0" w:color="auto"/>
        <w:left w:val="none" w:sz="0" w:space="0" w:color="auto"/>
        <w:bottom w:val="none" w:sz="0" w:space="0" w:color="auto"/>
        <w:right w:val="none" w:sz="0" w:space="0" w:color="auto"/>
      </w:divBdr>
    </w:div>
    <w:div w:id="342899229">
      <w:bodyDiv w:val="1"/>
      <w:marLeft w:val="0"/>
      <w:marRight w:val="0"/>
      <w:marTop w:val="0"/>
      <w:marBottom w:val="0"/>
      <w:divBdr>
        <w:top w:val="none" w:sz="0" w:space="0" w:color="auto"/>
        <w:left w:val="none" w:sz="0" w:space="0" w:color="auto"/>
        <w:bottom w:val="none" w:sz="0" w:space="0" w:color="auto"/>
        <w:right w:val="none" w:sz="0" w:space="0" w:color="auto"/>
      </w:divBdr>
    </w:div>
    <w:div w:id="443770521">
      <w:bodyDiv w:val="1"/>
      <w:marLeft w:val="0"/>
      <w:marRight w:val="0"/>
      <w:marTop w:val="0"/>
      <w:marBottom w:val="0"/>
      <w:divBdr>
        <w:top w:val="none" w:sz="0" w:space="0" w:color="auto"/>
        <w:left w:val="none" w:sz="0" w:space="0" w:color="auto"/>
        <w:bottom w:val="none" w:sz="0" w:space="0" w:color="auto"/>
        <w:right w:val="none" w:sz="0" w:space="0" w:color="auto"/>
      </w:divBdr>
    </w:div>
    <w:div w:id="799688638">
      <w:bodyDiv w:val="1"/>
      <w:marLeft w:val="0"/>
      <w:marRight w:val="0"/>
      <w:marTop w:val="0"/>
      <w:marBottom w:val="0"/>
      <w:divBdr>
        <w:top w:val="none" w:sz="0" w:space="0" w:color="auto"/>
        <w:left w:val="none" w:sz="0" w:space="0" w:color="auto"/>
        <w:bottom w:val="none" w:sz="0" w:space="0" w:color="auto"/>
        <w:right w:val="none" w:sz="0" w:space="0" w:color="auto"/>
      </w:divBdr>
    </w:div>
    <w:div w:id="894240350">
      <w:bodyDiv w:val="1"/>
      <w:marLeft w:val="0"/>
      <w:marRight w:val="0"/>
      <w:marTop w:val="0"/>
      <w:marBottom w:val="0"/>
      <w:divBdr>
        <w:top w:val="none" w:sz="0" w:space="0" w:color="auto"/>
        <w:left w:val="none" w:sz="0" w:space="0" w:color="auto"/>
        <w:bottom w:val="none" w:sz="0" w:space="0" w:color="auto"/>
        <w:right w:val="none" w:sz="0" w:space="0" w:color="auto"/>
      </w:divBdr>
    </w:div>
    <w:div w:id="952591890">
      <w:bodyDiv w:val="1"/>
      <w:marLeft w:val="0"/>
      <w:marRight w:val="0"/>
      <w:marTop w:val="0"/>
      <w:marBottom w:val="0"/>
      <w:divBdr>
        <w:top w:val="none" w:sz="0" w:space="0" w:color="auto"/>
        <w:left w:val="none" w:sz="0" w:space="0" w:color="auto"/>
        <w:bottom w:val="none" w:sz="0" w:space="0" w:color="auto"/>
        <w:right w:val="none" w:sz="0" w:space="0" w:color="auto"/>
      </w:divBdr>
    </w:div>
    <w:div w:id="960191372">
      <w:bodyDiv w:val="1"/>
      <w:marLeft w:val="0"/>
      <w:marRight w:val="0"/>
      <w:marTop w:val="0"/>
      <w:marBottom w:val="0"/>
      <w:divBdr>
        <w:top w:val="none" w:sz="0" w:space="0" w:color="auto"/>
        <w:left w:val="none" w:sz="0" w:space="0" w:color="auto"/>
        <w:bottom w:val="none" w:sz="0" w:space="0" w:color="auto"/>
        <w:right w:val="none" w:sz="0" w:space="0" w:color="auto"/>
      </w:divBdr>
    </w:div>
    <w:div w:id="1016227037">
      <w:bodyDiv w:val="1"/>
      <w:marLeft w:val="0"/>
      <w:marRight w:val="0"/>
      <w:marTop w:val="0"/>
      <w:marBottom w:val="0"/>
      <w:divBdr>
        <w:top w:val="none" w:sz="0" w:space="0" w:color="auto"/>
        <w:left w:val="none" w:sz="0" w:space="0" w:color="auto"/>
        <w:bottom w:val="none" w:sz="0" w:space="0" w:color="auto"/>
        <w:right w:val="none" w:sz="0" w:space="0" w:color="auto"/>
      </w:divBdr>
    </w:div>
    <w:div w:id="1410275217">
      <w:bodyDiv w:val="1"/>
      <w:marLeft w:val="0"/>
      <w:marRight w:val="0"/>
      <w:marTop w:val="0"/>
      <w:marBottom w:val="0"/>
      <w:divBdr>
        <w:top w:val="none" w:sz="0" w:space="0" w:color="auto"/>
        <w:left w:val="none" w:sz="0" w:space="0" w:color="auto"/>
        <w:bottom w:val="none" w:sz="0" w:space="0" w:color="auto"/>
        <w:right w:val="none" w:sz="0" w:space="0" w:color="auto"/>
      </w:divBdr>
    </w:div>
    <w:div w:id="1467048781">
      <w:bodyDiv w:val="1"/>
      <w:marLeft w:val="0"/>
      <w:marRight w:val="0"/>
      <w:marTop w:val="0"/>
      <w:marBottom w:val="0"/>
      <w:divBdr>
        <w:top w:val="none" w:sz="0" w:space="0" w:color="auto"/>
        <w:left w:val="none" w:sz="0" w:space="0" w:color="auto"/>
        <w:bottom w:val="none" w:sz="0" w:space="0" w:color="auto"/>
        <w:right w:val="none" w:sz="0" w:space="0" w:color="auto"/>
      </w:divBdr>
    </w:div>
    <w:div w:id="1505394272">
      <w:bodyDiv w:val="1"/>
      <w:marLeft w:val="0"/>
      <w:marRight w:val="0"/>
      <w:marTop w:val="0"/>
      <w:marBottom w:val="0"/>
      <w:divBdr>
        <w:top w:val="none" w:sz="0" w:space="0" w:color="auto"/>
        <w:left w:val="none" w:sz="0" w:space="0" w:color="auto"/>
        <w:bottom w:val="none" w:sz="0" w:space="0" w:color="auto"/>
        <w:right w:val="none" w:sz="0" w:space="0" w:color="auto"/>
      </w:divBdr>
    </w:div>
    <w:div w:id="1584682993">
      <w:bodyDiv w:val="1"/>
      <w:marLeft w:val="0"/>
      <w:marRight w:val="0"/>
      <w:marTop w:val="0"/>
      <w:marBottom w:val="0"/>
      <w:divBdr>
        <w:top w:val="none" w:sz="0" w:space="0" w:color="auto"/>
        <w:left w:val="none" w:sz="0" w:space="0" w:color="auto"/>
        <w:bottom w:val="none" w:sz="0" w:space="0" w:color="auto"/>
        <w:right w:val="none" w:sz="0" w:space="0" w:color="auto"/>
      </w:divBdr>
    </w:div>
    <w:div w:id="1613827382">
      <w:bodyDiv w:val="1"/>
      <w:marLeft w:val="0"/>
      <w:marRight w:val="0"/>
      <w:marTop w:val="0"/>
      <w:marBottom w:val="0"/>
      <w:divBdr>
        <w:top w:val="none" w:sz="0" w:space="0" w:color="auto"/>
        <w:left w:val="none" w:sz="0" w:space="0" w:color="auto"/>
        <w:bottom w:val="none" w:sz="0" w:space="0" w:color="auto"/>
        <w:right w:val="none" w:sz="0" w:space="0" w:color="auto"/>
      </w:divBdr>
    </w:div>
    <w:div w:id="1682394300">
      <w:bodyDiv w:val="1"/>
      <w:marLeft w:val="0"/>
      <w:marRight w:val="0"/>
      <w:marTop w:val="0"/>
      <w:marBottom w:val="0"/>
      <w:divBdr>
        <w:top w:val="none" w:sz="0" w:space="0" w:color="auto"/>
        <w:left w:val="none" w:sz="0" w:space="0" w:color="auto"/>
        <w:bottom w:val="none" w:sz="0" w:space="0" w:color="auto"/>
        <w:right w:val="none" w:sz="0" w:space="0" w:color="auto"/>
      </w:divBdr>
    </w:div>
    <w:div w:id="1722821380">
      <w:bodyDiv w:val="1"/>
      <w:marLeft w:val="0"/>
      <w:marRight w:val="0"/>
      <w:marTop w:val="0"/>
      <w:marBottom w:val="0"/>
      <w:divBdr>
        <w:top w:val="none" w:sz="0" w:space="0" w:color="auto"/>
        <w:left w:val="none" w:sz="0" w:space="0" w:color="auto"/>
        <w:bottom w:val="none" w:sz="0" w:space="0" w:color="auto"/>
        <w:right w:val="none" w:sz="0" w:space="0" w:color="auto"/>
      </w:divBdr>
    </w:div>
    <w:div w:id="1861166540">
      <w:bodyDiv w:val="1"/>
      <w:marLeft w:val="0"/>
      <w:marRight w:val="0"/>
      <w:marTop w:val="0"/>
      <w:marBottom w:val="0"/>
      <w:divBdr>
        <w:top w:val="none" w:sz="0" w:space="0" w:color="auto"/>
        <w:left w:val="none" w:sz="0" w:space="0" w:color="auto"/>
        <w:bottom w:val="none" w:sz="0" w:space="0" w:color="auto"/>
        <w:right w:val="none" w:sz="0" w:space="0" w:color="auto"/>
      </w:divBdr>
    </w:div>
    <w:div w:id="1990477026">
      <w:bodyDiv w:val="1"/>
      <w:marLeft w:val="0"/>
      <w:marRight w:val="0"/>
      <w:marTop w:val="0"/>
      <w:marBottom w:val="0"/>
      <w:divBdr>
        <w:top w:val="none" w:sz="0" w:space="0" w:color="auto"/>
        <w:left w:val="none" w:sz="0" w:space="0" w:color="auto"/>
        <w:bottom w:val="none" w:sz="0" w:space="0" w:color="auto"/>
        <w:right w:val="none" w:sz="0" w:space="0" w:color="auto"/>
      </w:divBdr>
    </w:div>
    <w:div w:id="2009676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bnb.gov.br/projwebren/Exec/artigoRenPDF.aspx?%20cd_artigo_ren=143"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ielosp.org/toc/csc/2018.v23n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iarc.fr/wp-content/uploads/2018/07/MonographVolume112-1.pdf" TargetMode="Externa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planalto.gov.br/ccivil_03/decreto/2002/d4074.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lanalto.gov.br/ccivil_03/decreto/2002/d407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Windows\Documents\Tese%20-%20textos\PRODEIC\dados%20valor%20da%20terr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Windows\Documents\Tese%20-%20textos\PRODEIC\dados%20valor%20da%20terr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Windows\Downloads\05.Vendas_ingredientes_ativos_UF_20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Windows\Documents\Tese%20-%20textos\Censo\area%20e%20rendimento%202000%202017%20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91203623206404"/>
          <c:y val="4.4647394247677025E-2"/>
          <c:w val="0.84495442012966049"/>
          <c:h val="0.64775251345334328"/>
        </c:manualLayout>
      </c:layout>
      <c:lineChart>
        <c:grouping val="standard"/>
        <c:varyColors val="0"/>
        <c:ser>
          <c:idx val="0"/>
          <c:order val="0"/>
          <c:tx>
            <c:strRef>
              <c:f>Plan4!$R$3</c:f>
              <c:strCache>
                <c:ptCount val="1"/>
                <c:pt idx="0">
                  <c:v>Preços Terras - Lavouras - Brasil</c:v>
                </c:pt>
              </c:strCache>
            </c:strRef>
          </c:tx>
          <c:spPr>
            <a:ln w="28575" cap="rnd">
              <a:solidFill>
                <a:schemeClr val="accent1"/>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Plan4!$R$4:$R$27</c:f>
              <c:numCache>
                <c:formatCode>#,##0.00</c:formatCode>
                <c:ptCount val="24"/>
                <c:pt idx="0">
                  <c:v>3354.86</c:v>
                </c:pt>
                <c:pt idx="1">
                  <c:v>3772.5907208143776</c:v>
                </c:pt>
                <c:pt idx="2">
                  <c:v>3877.2417797904845</c:v>
                </c:pt>
                <c:pt idx="3">
                  <c:v>3853.0106478843932</c:v>
                </c:pt>
                <c:pt idx="4">
                  <c:v>3925.8321330649173</c:v>
                </c:pt>
                <c:pt idx="5">
                  <c:v>4008.7985791104329</c:v>
                </c:pt>
                <c:pt idx="6">
                  <c:v>4069.4596616497593</c:v>
                </c:pt>
                <c:pt idx="7">
                  <c:v>4317.1618831686974</c:v>
                </c:pt>
                <c:pt idx="8">
                  <c:v>4282.558907150732</c:v>
                </c:pt>
                <c:pt idx="9">
                  <c:v>4416.340007503677</c:v>
                </c:pt>
                <c:pt idx="10">
                  <c:v>4326.796960932501</c:v>
                </c:pt>
                <c:pt idx="11">
                  <c:v>4397.9415040637332</c:v>
                </c:pt>
                <c:pt idx="12">
                  <c:v>4965.7291304260862</c:v>
                </c:pt>
                <c:pt idx="13">
                  <c:v>5358.2312062539067</c:v>
                </c:pt>
                <c:pt idx="14">
                  <c:v>5042.677945726381</c:v>
                </c:pt>
                <c:pt idx="15">
                  <c:v>4899.8900578900248</c:v>
                </c:pt>
                <c:pt idx="16">
                  <c:v>5332.9556021599592</c:v>
                </c:pt>
                <c:pt idx="17">
                  <c:v>5354.5265048992032</c:v>
                </c:pt>
                <c:pt idx="18">
                  <c:v>5633.3539000354549</c:v>
                </c:pt>
                <c:pt idx="19">
                  <c:v>5533.8089276013698</c:v>
                </c:pt>
                <c:pt idx="20">
                  <c:v>5775.6036746339241</c:v>
                </c:pt>
                <c:pt idx="21">
                  <c:v>5721.6396805045042</c:v>
                </c:pt>
                <c:pt idx="22">
                  <c:v>6086.6780914027095</c:v>
                </c:pt>
                <c:pt idx="23">
                  <c:v>6095.4759756254662</c:v>
                </c:pt>
              </c:numCache>
            </c:numRef>
          </c:val>
          <c:smooth val="0"/>
          <c:extLst>
            <c:ext xmlns:c16="http://schemas.microsoft.com/office/drawing/2014/chart" uri="{C3380CC4-5D6E-409C-BE32-E72D297353CC}">
              <c16:uniqueId val="{00000000-549B-434D-9BB5-7F9991E37864}"/>
            </c:ext>
          </c:extLst>
        </c:ser>
        <c:ser>
          <c:idx val="2"/>
          <c:order val="1"/>
          <c:tx>
            <c:strRef>
              <c:f>Plan4!$T$3</c:f>
              <c:strCache>
                <c:ptCount val="1"/>
                <c:pt idx="0">
                  <c:v>Preços de Terras - Pastagens - Brasil</c:v>
                </c:pt>
              </c:strCache>
            </c:strRef>
          </c:tx>
          <c:spPr>
            <a:ln w="28575" cap="rnd">
              <a:solidFill>
                <a:schemeClr val="accent3"/>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Plan4!$T$4:$T$27</c:f>
              <c:numCache>
                <c:formatCode>#,##0.00</c:formatCode>
                <c:ptCount val="24"/>
                <c:pt idx="0">
                  <c:v>1631.15</c:v>
                </c:pt>
                <c:pt idx="1">
                  <c:v>1784.5741486025624</c:v>
                </c:pt>
                <c:pt idx="2">
                  <c:v>1889.4432636339125</c:v>
                </c:pt>
                <c:pt idx="3">
                  <c:v>1899.4114353201787</c:v>
                </c:pt>
                <c:pt idx="4">
                  <c:v>2002.2593922964954</c:v>
                </c:pt>
                <c:pt idx="5">
                  <c:v>2092.8472820288061</c:v>
                </c:pt>
                <c:pt idx="6">
                  <c:v>2109.0957411502777</c:v>
                </c:pt>
                <c:pt idx="7">
                  <c:v>2030.8398526431049</c:v>
                </c:pt>
                <c:pt idx="8">
                  <c:v>2073.8057004604862</c:v>
                </c:pt>
                <c:pt idx="9">
                  <c:v>2096.3136634411649</c:v>
                </c:pt>
                <c:pt idx="10">
                  <c:v>2080.4141166482768</c:v>
                </c:pt>
                <c:pt idx="11">
                  <c:v>2125.7130245555873</c:v>
                </c:pt>
                <c:pt idx="12">
                  <c:v>2386.5244998074836</c:v>
                </c:pt>
                <c:pt idx="13">
                  <c:v>2540.3138512877536</c:v>
                </c:pt>
                <c:pt idx="14">
                  <c:v>2438.6175466458535</c:v>
                </c:pt>
                <c:pt idx="15">
                  <c:v>2475.8356705613323</c:v>
                </c:pt>
                <c:pt idx="16">
                  <c:v>2654.5319795395299</c:v>
                </c:pt>
                <c:pt idx="17">
                  <c:v>2730.8791871104372</c:v>
                </c:pt>
                <c:pt idx="18">
                  <c:v>2753.59049096952</c:v>
                </c:pt>
                <c:pt idx="19">
                  <c:v>2731.037438757121</c:v>
                </c:pt>
                <c:pt idx="20">
                  <c:v>2858.2106557380253</c:v>
                </c:pt>
                <c:pt idx="21">
                  <c:v>2899.9040653528064</c:v>
                </c:pt>
                <c:pt idx="22">
                  <c:v>3006.0908568519762</c:v>
                </c:pt>
                <c:pt idx="23">
                  <c:v>2990.2441511823486</c:v>
                </c:pt>
              </c:numCache>
            </c:numRef>
          </c:val>
          <c:smooth val="0"/>
          <c:extLst>
            <c:ext xmlns:c16="http://schemas.microsoft.com/office/drawing/2014/chart" uri="{C3380CC4-5D6E-409C-BE32-E72D297353CC}">
              <c16:uniqueId val="{00000001-549B-434D-9BB5-7F9991E37864}"/>
            </c:ext>
          </c:extLst>
        </c:ser>
        <c:ser>
          <c:idx val="6"/>
          <c:order val="2"/>
          <c:tx>
            <c:strRef>
              <c:f>Plan4!$X$3</c:f>
              <c:strCache>
                <c:ptCount val="1"/>
                <c:pt idx="0">
                  <c:v>Preços Terras - Lavouras - Mato Grosso</c:v>
                </c:pt>
              </c:strCache>
            </c:strRef>
          </c:tx>
          <c:spPr>
            <a:ln w="28575" cap="rnd">
              <a:solidFill>
                <a:schemeClr val="accent1">
                  <a:lumMod val="60000"/>
                </a:schemeClr>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Plan4!$X$4:$X$27</c:f>
              <c:numCache>
                <c:formatCode>#,##0.00</c:formatCode>
                <c:ptCount val="24"/>
                <c:pt idx="0">
                  <c:v>1925.98</c:v>
                </c:pt>
                <c:pt idx="1">
                  <c:v>2119.6586423959216</c:v>
                </c:pt>
                <c:pt idx="2">
                  <c:v>2159.0394418697206</c:v>
                </c:pt>
                <c:pt idx="3">
                  <c:v>2072.5093556954162</c:v>
                </c:pt>
                <c:pt idx="4">
                  <c:v>2146.263893792775</c:v>
                </c:pt>
                <c:pt idx="5">
                  <c:v>2192.5404751311075</c:v>
                </c:pt>
                <c:pt idx="6">
                  <c:v>2273.8110608922993</c:v>
                </c:pt>
                <c:pt idx="7">
                  <c:v>3695.6940086055265</c:v>
                </c:pt>
                <c:pt idx="8">
                  <c:v>3498.5565366063029</c:v>
                </c:pt>
                <c:pt idx="9">
                  <c:v>3633.2165720690446</c:v>
                </c:pt>
                <c:pt idx="10">
                  <c:v>3965.9477205217736</c:v>
                </c:pt>
                <c:pt idx="11">
                  <c:v>3919.9757798928717</c:v>
                </c:pt>
                <c:pt idx="12">
                  <c:v>4952.7246362815831</c:v>
                </c:pt>
                <c:pt idx="13">
                  <c:v>4975.9481812091663</c:v>
                </c:pt>
                <c:pt idx="14">
                  <c:v>4830.9366768211585</c:v>
                </c:pt>
                <c:pt idx="15">
                  <c:v>3922.0500339920659</c:v>
                </c:pt>
                <c:pt idx="16">
                  <c:v>5167.4549987885821</c:v>
                </c:pt>
                <c:pt idx="17">
                  <c:v>5241.3348113903776</c:v>
                </c:pt>
                <c:pt idx="18">
                  <c:v>5514.9032807151416</c:v>
                </c:pt>
                <c:pt idx="19">
                  <c:v>5564.1973847258905</c:v>
                </c:pt>
                <c:pt idx="20">
                  <c:v>5519.1982801337508</c:v>
                </c:pt>
                <c:pt idx="21">
                  <c:v>5327.36660540508</c:v>
                </c:pt>
                <c:pt idx="22">
                  <c:v>5622.4650044817918</c:v>
                </c:pt>
                <c:pt idx="23">
                  <c:v>6458.2510228268584</c:v>
                </c:pt>
              </c:numCache>
            </c:numRef>
          </c:val>
          <c:smooth val="0"/>
          <c:extLst>
            <c:ext xmlns:c16="http://schemas.microsoft.com/office/drawing/2014/chart" uri="{C3380CC4-5D6E-409C-BE32-E72D297353CC}">
              <c16:uniqueId val="{00000002-549B-434D-9BB5-7F9991E37864}"/>
            </c:ext>
          </c:extLst>
        </c:ser>
        <c:ser>
          <c:idx val="8"/>
          <c:order val="3"/>
          <c:tx>
            <c:strRef>
              <c:f>Plan4!$Z$3</c:f>
              <c:strCache>
                <c:ptCount val="1"/>
                <c:pt idx="0">
                  <c:v>Preços de Terras - Pastagens - Mato Grosso</c:v>
                </c:pt>
              </c:strCache>
            </c:strRef>
          </c:tx>
          <c:spPr>
            <a:ln w="28575" cap="rnd">
              <a:solidFill>
                <a:schemeClr val="accent3">
                  <a:lumMod val="60000"/>
                </a:schemeClr>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Plan4!$Z$4:$Z$27</c:f>
              <c:numCache>
                <c:formatCode>#,##0.00</c:formatCode>
                <c:ptCount val="24"/>
                <c:pt idx="0">
                  <c:v>1211.22</c:v>
                </c:pt>
                <c:pt idx="1">
                  <c:v>1347.4432690367871</c:v>
                </c:pt>
                <c:pt idx="2">
                  <c:v>1544.2646332195034</c:v>
                </c:pt>
                <c:pt idx="3">
                  <c:v>1625.7891288211408</c:v>
                </c:pt>
                <c:pt idx="4">
                  <c:v>1651.4050855425935</c:v>
                </c:pt>
                <c:pt idx="5">
                  <c:v>1768.9512979884234</c:v>
                </c:pt>
                <c:pt idx="6">
                  <c:v>1743.7634439082331</c:v>
                </c:pt>
                <c:pt idx="7">
                  <c:v>1498.67580672658</c:v>
                </c:pt>
                <c:pt idx="8">
                  <c:v>1762.1894511667167</c:v>
                </c:pt>
                <c:pt idx="9">
                  <c:v>1793.101883825256</c:v>
                </c:pt>
                <c:pt idx="10">
                  <c:v>1855.4458475893932</c:v>
                </c:pt>
                <c:pt idx="11">
                  <c:v>1855.8892611675349</c:v>
                </c:pt>
                <c:pt idx="12">
                  <c:v>2143.4398409439805</c:v>
                </c:pt>
                <c:pt idx="13">
                  <c:v>2204.7987047692436</c:v>
                </c:pt>
                <c:pt idx="14">
                  <c:v>2208.8852511344685</c:v>
                </c:pt>
                <c:pt idx="15">
                  <c:v>2664.0691845106412</c:v>
                </c:pt>
                <c:pt idx="16">
                  <c:v>2632.6861552345067</c:v>
                </c:pt>
                <c:pt idx="17">
                  <c:v>2824.6789689874699</c:v>
                </c:pt>
                <c:pt idx="18">
                  <c:v>2907.2422399406196</c:v>
                </c:pt>
                <c:pt idx="19">
                  <c:v>2882.7925334175807</c:v>
                </c:pt>
                <c:pt idx="20">
                  <c:v>3031.3915074522333</c:v>
                </c:pt>
                <c:pt idx="21">
                  <c:v>3105.4328035160129</c:v>
                </c:pt>
                <c:pt idx="22">
                  <c:v>3751.1308156084365</c:v>
                </c:pt>
                <c:pt idx="23">
                  <c:v>3786.629136757937</c:v>
                </c:pt>
              </c:numCache>
            </c:numRef>
          </c:val>
          <c:smooth val="0"/>
          <c:extLst>
            <c:ext xmlns:c16="http://schemas.microsoft.com/office/drawing/2014/chart" uri="{C3380CC4-5D6E-409C-BE32-E72D297353CC}">
              <c16:uniqueId val="{00000003-549B-434D-9BB5-7F9991E37864}"/>
            </c:ext>
          </c:extLst>
        </c:ser>
        <c:dLbls>
          <c:showLegendKey val="0"/>
          <c:showVal val="0"/>
          <c:showCatName val="0"/>
          <c:showSerName val="0"/>
          <c:showPercent val="0"/>
          <c:showBubbleSize val="0"/>
        </c:dLbls>
        <c:smooth val="0"/>
        <c:axId val="618262816"/>
        <c:axId val="618263376"/>
      </c:lineChart>
      <c:catAx>
        <c:axId val="6182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18263376"/>
        <c:crosses val="autoZero"/>
        <c:auto val="1"/>
        <c:lblAlgn val="ctr"/>
        <c:lblOffset val="100"/>
        <c:noMultiLvlLbl val="0"/>
      </c:catAx>
      <c:valAx>
        <c:axId val="61826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pt-BR">
                    <a:latin typeface="Times New Roman" panose="02020603050405020304" pitchFamily="18" charset="0"/>
                    <a:cs typeface="Times New Roman" panose="02020603050405020304" pitchFamily="18" charset="0"/>
                  </a:rPr>
                  <a:t>(R$)</a:t>
                </a:r>
              </a:p>
            </c:rich>
          </c:tx>
          <c:overlay val="0"/>
        </c:title>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18262816"/>
        <c:crosses val="autoZero"/>
        <c:crossBetween val="between"/>
      </c:valAx>
      <c:spPr>
        <a:noFill/>
        <a:ln w="25400">
          <a:noFill/>
        </a:ln>
      </c:spPr>
    </c:plotArea>
    <c:legend>
      <c:legendPos val="b"/>
      <c:layout>
        <c:manualLayout>
          <c:xMode val="edge"/>
          <c:yMode val="edge"/>
          <c:x val="1.0708827011765487E-2"/>
          <c:y val="0.84170283592599704"/>
          <c:w val="0.97437624713314619"/>
          <c:h val="0.13394404967671725"/>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Plan4!$S$3</c:f>
              <c:strCache>
                <c:ptCount val="1"/>
                <c:pt idx="0">
                  <c:v>Indíce Terra Lavoura Brasil</c:v>
                </c:pt>
              </c:strCache>
            </c:strRef>
          </c:tx>
          <c:spPr>
            <a:ln w="28575" cap="rnd">
              <a:solidFill>
                <a:schemeClr val="accent2"/>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Plan4!$S$4:$S$27</c:f>
              <c:numCache>
                <c:formatCode>#,##0.00</c:formatCode>
                <c:ptCount val="24"/>
                <c:pt idx="0">
                  <c:v>100</c:v>
                </c:pt>
                <c:pt idx="1">
                  <c:v>112.45150977430885</c:v>
                </c:pt>
                <c:pt idx="2">
                  <c:v>115.57089654383445</c:v>
                </c:pt>
                <c:pt idx="3">
                  <c:v>114.84862700334419</c:v>
                </c:pt>
                <c:pt idx="4">
                  <c:v>117.01925365186379</c:v>
                </c:pt>
                <c:pt idx="5">
                  <c:v>119.49227625326937</c:v>
                </c:pt>
                <c:pt idx="6">
                  <c:v>121.30043166182074</c:v>
                </c:pt>
                <c:pt idx="7">
                  <c:v>128.68381640869359</c:v>
                </c:pt>
                <c:pt idx="8">
                  <c:v>127.6523880922224</c:v>
                </c:pt>
                <c:pt idx="9">
                  <c:v>131.64006866169308</c:v>
                </c:pt>
                <c:pt idx="10">
                  <c:v>128.97101401943749</c:v>
                </c:pt>
                <c:pt idx="11">
                  <c:v>131.09165521254934</c:v>
                </c:pt>
                <c:pt idx="12">
                  <c:v>148.01598667086216</c:v>
                </c:pt>
                <c:pt idx="13">
                  <c:v>159.71549353039788</c:v>
                </c:pt>
                <c:pt idx="14">
                  <c:v>150.30963872490599</c:v>
                </c:pt>
                <c:pt idx="15">
                  <c:v>146.05348830919993</c:v>
                </c:pt>
                <c:pt idx="16">
                  <c:v>158.96209088188357</c:v>
                </c:pt>
                <c:pt idx="17">
                  <c:v>159.60506563311742</c:v>
                </c:pt>
                <c:pt idx="18">
                  <c:v>167.91621409046741</c:v>
                </c:pt>
                <c:pt idx="19">
                  <c:v>164.94902701160018</c:v>
                </c:pt>
                <c:pt idx="20">
                  <c:v>172.15632469414294</c:v>
                </c:pt>
                <c:pt idx="21">
                  <c:v>170.54779276943015</c:v>
                </c:pt>
                <c:pt idx="22">
                  <c:v>181.42867635021162</c:v>
                </c:pt>
                <c:pt idx="23">
                  <c:v>181.69091931184806</c:v>
                </c:pt>
              </c:numCache>
            </c:numRef>
          </c:val>
          <c:smooth val="0"/>
          <c:extLst>
            <c:ext xmlns:c16="http://schemas.microsoft.com/office/drawing/2014/chart" uri="{C3380CC4-5D6E-409C-BE32-E72D297353CC}">
              <c16:uniqueId val="{00000000-CFDA-467F-B15E-C56839330A5C}"/>
            </c:ext>
          </c:extLst>
        </c:ser>
        <c:ser>
          <c:idx val="3"/>
          <c:order val="1"/>
          <c:tx>
            <c:strRef>
              <c:f>Plan4!$U$3</c:f>
              <c:strCache>
                <c:ptCount val="1"/>
                <c:pt idx="0">
                  <c:v>Indíce Terra Pastagem Brasil</c:v>
                </c:pt>
              </c:strCache>
            </c:strRef>
          </c:tx>
          <c:spPr>
            <a:ln w="28575" cap="rnd">
              <a:solidFill>
                <a:schemeClr val="accent4"/>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Plan4!$U$4:$U$27</c:f>
              <c:numCache>
                <c:formatCode>#,##0.00</c:formatCode>
                <c:ptCount val="24"/>
                <c:pt idx="0">
                  <c:v>100</c:v>
                </c:pt>
                <c:pt idx="1">
                  <c:v>109.40588839791327</c:v>
                </c:pt>
                <c:pt idx="2">
                  <c:v>115.83504053176669</c:v>
                </c:pt>
                <c:pt idx="3">
                  <c:v>116.44615365356825</c:v>
                </c:pt>
                <c:pt idx="4">
                  <c:v>122.75139578190206</c:v>
                </c:pt>
                <c:pt idx="5">
                  <c:v>128.30501683038383</c:v>
                </c:pt>
                <c:pt idx="6">
                  <c:v>129.30115201853155</c:v>
                </c:pt>
                <c:pt idx="7">
                  <c:v>124.50356206621737</c:v>
                </c:pt>
                <c:pt idx="8">
                  <c:v>127.13764524786109</c:v>
                </c:pt>
                <c:pt idx="9">
                  <c:v>128.51752833529503</c:v>
                </c:pt>
                <c:pt idx="10">
                  <c:v>127.54278371996915</c:v>
                </c:pt>
                <c:pt idx="11">
                  <c:v>130.31989851059603</c:v>
                </c:pt>
                <c:pt idx="12">
                  <c:v>146.30932163243622</c:v>
                </c:pt>
                <c:pt idx="13">
                  <c:v>155.7375993187477</c:v>
                </c:pt>
                <c:pt idx="14">
                  <c:v>149.50296089543286</c:v>
                </c:pt>
                <c:pt idx="15">
                  <c:v>151.78467158515969</c:v>
                </c:pt>
                <c:pt idx="16">
                  <c:v>162.73990617291662</c:v>
                </c:pt>
                <c:pt idx="17">
                  <c:v>167.42048169147148</c:v>
                </c:pt>
                <c:pt idx="18">
                  <c:v>168.81283088431596</c:v>
                </c:pt>
                <c:pt idx="19">
                  <c:v>167.43018353659204</c:v>
                </c:pt>
                <c:pt idx="20">
                  <c:v>175.22672076375716</c:v>
                </c:pt>
                <c:pt idx="21">
                  <c:v>177.78279528877209</c:v>
                </c:pt>
                <c:pt idx="22">
                  <c:v>184.29272947625762</c:v>
                </c:pt>
                <c:pt idx="23">
                  <c:v>183.32122436209718</c:v>
                </c:pt>
              </c:numCache>
            </c:numRef>
          </c:val>
          <c:smooth val="0"/>
          <c:extLst>
            <c:ext xmlns:c16="http://schemas.microsoft.com/office/drawing/2014/chart" uri="{C3380CC4-5D6E-409C-BE32-E72D297353CC}">
              <c16:uniqueId val="{00000001-CFDA-467F-B15E-C56839330A5C}"/>
            </c:ext>
          </c:extLst>
        </c:ser>
        <c:ser>
          <c:idx val="7"/>
          <c:order val="2"/>
          <c:tx>
            <c:strRef>
              <c:f>Plan4!$Y$3</c:f>
              <c:strCache>
                <c:ptCount val="1"/>
                <c:pt idx="0">
                  <c:v>Indíce Terra Lavoura Mato Grosso</c:v>
                </c:pt>
              </c:strCache>
            </c:strRef>
          </c:tx>
          <c:spPr>
            <a:ln w="28575" cap="rnd">
              <a:solidFill>
                <a:schemeClr val="accent2">
                  <a:lumMod val="60000"/>
                </a:schemeClr>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Plan4!$Y$4:$Y$27</c:f>
              <c:numCache>
                <c:formatCode>#,##0.00</c:formatCode>
                <c:ptCount val="24"/>
                <c:pt idx="0">
                  <c:v>100</c:v>
                </c:pt>
                <c:pt idx="1">
                  <c:v>110.05610870289004</c:v>
                </c:pt>
                <c:pt idx="2">
                  <c:v>112.10082357395822</c:v>
                </c:pt>
                <c:pt idx="3">
                  <c:v>107.60804139686893</c:v>
                </c:pt>
                <c:pt idx="4">
                  <c:v>111.43749643260963</c:v>
                </c:pt>
                <c:pt idx="5">
                  <c:v>113.84025146320873</c:v>
                </c:pt>
                <c:pt idx="6">
                  <c:v>118.05995186306708</c:v>
                </c:pt>
                <c:pt idx="7">
                  <c:v>191.88641671281769</c:v>
                </c:pt>
                <c:pt idx="8">
                  <c:v>181.65071997665098</c:v>
                </c:pt>
                <c:pt idx="9">
                  <c:v>188.64248704914093</c:v>
                </c:pt>
                <c:pt idx="10">
                  <c:v>205.91842700971833</c:v>
                </c:pt>
                <c:pt idx="11">
                  <c:v>203.5314894180039</c:v>
                </c:pt>
                <c:pt idx="12">
                  <c:v>257.15348218992841</c:v>
                </c:pt>
                <c:pt idx="13">
                  <c:v>258.35928624436218</c:v>
                </c:pt>
                <c:pt idx="14">
                  <c:v>250.83005414496301</c:v>
                </c:pt>
                <c:pt idx="15">
                  <c:v>203.63918804930822</c:v>
                </c:pt>
                <c:pt idx="16">
                  <c:v>268.30263028632601</c:v>
                </c:pt>
                <c:pt idx="17">
                  <c:v>272.138589777172</c:v>
                </c:pt>
                <c:pt idx="18">
                  <c:v>286.34270764572534</c:v>
                </c:pt>
                <c:pt idx="19">
                  <c:v>288.902137339219</c:v>
                </c:pt>
                <c:pt idx="20">
                  <c:v>286.56571096967525</c:v>
                </c:pt>
                <c:pt idx="21">
                  <c:v>276.60549981853808</c:v>
                </c:pt>
                <c:pt idx="22">
                  <c:v>291.92748649943366</c:v>
                </c:pt>
                <c:pt idx="23">
                  <c:v>335.32284981291906</c:v>
                </c:pt>
              </c:numCache>
            </c:numRef>
          </c:val>
          <c:smooth val="0"/>
          <c:extLst>
            <c:ext xmlns:c16="http://schemas.microsoft.com/office/drawing/2014/chart" uri="{C3380CC4-5D6E-409C-BE32-E72D297353CC}">
              <c16:uniqueId val="{00000002-CFDA-467F-B15E-C56839330A5C}"/>
            </c:ext>
          </c:extLst>
        </c:ser>
        <c:ser>
          <c:idx val="9"/>
          <c:order val="3"/>
          <c:tx>
            <c:strRef>
              <c:f>Plan4!$AA$3</c:f>
              <c:strCache>
                <c:ptCount val="1"/>
                <c:pt idx="0">
                  <c:v>Indíce Terra Pastagem Mato Grosso</c:v>
                </c:pt>
              </c:strCache>
            </c:strRef>
          </c:tx>
          <c:spPr>
            <a:ln w="28575" cap="rnd">
              <a:solidFill>
                <a:schemeClr val="accent4">
                  <a:lumMod val="60000"/>
                </a:schemeClr>
              </a:solidFill>
              <a:round/>
            </a:ln>
            <a:effectLst/>
          </c:spPr>
          <c:marker>
            <c:symbol val="none"/>
          </c:marker>
          <c:cat>
            <c:strRef>
              <c:f>Plan4!$Q$4:$Q$27</c:f>
              <c:strCache>
                <c:ptCount val="24"/>
                <c:pt idx="0">
                  <c:v>06/2003</c:v>
                </c:pt>
                <c:pt idx="1">
                  <c:v>12/2003</c:v>
                </c:pt>
                <c:pt idx="2">
                  <c:v>06/2004</c:v>
                </c:pt>
                <c:pt idx="3">
                  <c:v>12/2004</c:v>
                </c:pt>
                <c:pt idx="4">
                  <c:v>06/2005</c:v>
                </c:pt>
                <c:pt idx="5">
                  <c:v>12/2005</c:v>
                </c:pt>
                <c:pt idx="6">
                  <c:v>06/2006</c:v>
                </c:pt>
                <c:pt idx="7">
                  <c:v>12/2006</c:v>
                </c:pt>
                <c:pt idx="8">
                  <c:v>06/2007</c:v>
                </c:pt>
                <c:pt idx="9">
                  <c:v>12/2007</c:v>
                </c:pt>
                <c:pt idx="10">
                  <c:v>06/2008</c:v>
                </c:pt>
                <c:pt idx="11">
                  <c:v>12/2008</c:v>
                </c:pt>
                <c:pt idx="12">
                  <c:v>06/2009</c:v>
                </c:pt>
                <c:pt idx="13">
                  <c:v>12/2009</c:v>
                </c:pt>
                <c:pt idx="14">
                  <c:v>06/2010</c:v>
                </c:pt>
                <c:pt idx="15">
                  <c:v>12/2010</c:v>
                </c:pt>
                <c:pt idx="16">
                  <c:v>06/2011</c:v>
                </c:pt>
                <c:pt idx="17">
                  <c:v>12/2011</c:v>
                </c:pt>
                <c:pt idx="18">
                  <c:v>06/2012</c:v>
                </c:pt>
                <c:pt idx="19">
                  <c:v>12/2012</c:v>
                </c:pt>
                <c:pt idx="20">
                  <c:v>06/2013</c:v>
                </c:pt>
                <c:pt idx="21">
                  <c:v>12/2013</c:v>
                </c:pt>
                <c:pt idx="22">
                  <c:v>06/2014</c:v>
                </c:pt>
                <c:pt idx="23">
                  <c:v>12/2014</c:v>
                </c:pt>
              </c:strCache>
            </c:strRef>
          </c:cat>
          <c:val>
            <c:numRef>
              <c:f>Plan4!$AA$4:$AA$27</c:f>
              <c:numCache>
                <c:formatCode>#,##0.00</c:formatCode>
                <c:ptCount val="24"/>
                <c:pt idx="0">
                  <c:v>100</c:v>
                </c:pt>
                <c:pt idx="1">
                  <c:v>111.24678167771232</c:v>
                </c:pt>
                <c:pt idx="2">
                  <c:v>127.49662598202667</c:v>
                </c:pt>
                <c:pt idx="3">
                  <c:v>134.22740120053672</c:v>
                </c:pt>
                <c:pt idx="4">
                  <c:v>136.34229004991607</c:v>
                </c:pt>
                <c:pt idx="5">
                  <c:v>146.04706807916179</c:v>
                </c:pt>
                <c:pt idx="6">
                  <c:v>143.96752397650576</c:v>
                </c:pt>
                <c:pt idx="7">
                  <c:v>123.73274935408762</c:v>
                </c:pt>
                <c:pt idx="8">
                  <c:v>145.48880064453334</c:v>
                </c:pt>
                <c:pt idx="9">
                  <c:v>148.04097387966314</c:v>
                </c:pt>
                <c:pt idx="10">
                  <c:v>153.18817783634626</c:v>
                </c:pt>
                <c:pt idx="11">
                  <c:v>153.22478667521463</c:v>
                </c:pt>
                <c:pt idx="12">
                  <c:v>176.96536062350197</c:v>
                </c:pt>
                <c:pt idx="13">
                  <c:v>182.03123336546983</c:v>
                </c:pt>
                <c:pt idx="14">
                  <c:v>182.36862429075381</c:v>
                </c:pt>
                <c:pt idx="15">
                  <c:v>219.94923998205454</c:v>
                </c:pt>
                <c:pt idx="16">
                  <c:v>217.35821363868718</c:v>
                </c:pt>
                <c:pt idx="17">
                  <c:v>233.2094061349276</c:v>
                </c:pt>
                <c:pt idx="18">
                  <c:v>240.02594408452796</c:v>
                </c:pt>
                <c:pt idx="19">
                  <c:v>238.00734246607394</c:v>
                </c:pt>
                <c:pt idx="20">
                  <c:v>250.27587948120353</c:v>
                </c:pt>
                <c:pt idx="21">
                  <c:v>256.38883138620668</c:v>
                </c:pt>
                <c:pt idx="22">
                  <c:v>309.69855316197197</c:v>
                </c:pt>
                <c:pt idx="23">
                  <c:v>312.62934369957043</c:v>
                </c:pt>
              </c:numCache>
            </c:numRef>
          </c:val>
          <c:smooth val="0"/>
          <c:extLst>
            <c:ext xmlns:c16="http://schemas.microsoft.com/office/drawing/2014/chart" uri="{C3380CC4-5D6E-409C-BE32-E72D297353CC}">
              <c16:uniqueId val="{00000003-CFDA-467F-B15E-C56839330A5C}"/>
            </c:ext>
          </c:extLst>
        </c:ser>
        <c:dLbls>
          <c:showLegendKey val="0"/>
          <c:showVal val="0"/>
          <c:showCatName val="0"/>
          <c:showSerName val="0"/>
          <c:showPercent val="0"/>
          <c:showBubbleSize val="0"/>
        </c:dLbls>
        <c:smooth val="0"/>
        <c:axId val="618267296"/>
        <c:axId val="618267856"/>
      </c:lineChart>
      <c:catAx>
        <c:axId val="61826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18267856"/>
        <c:crosses val="autoZero"/>
        <c:auto val="1"/>
        <c:lblAlgn val="ctr"/>
        <c:lblOffset val="100"/>
        <c:noMultiLvlLbl val="0"/>
      </c:catAx>
      <c:valAx>
        <c:axId val="618267856"/>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pt-BR">
                    <a:solidFill>
                      <a:sysClr val="windowText" lastClr="000000"/>
                    </a:solidFill>
                    <a:latin typeface="Times New Roman" panose="02020603050405020304" pitchFamily="18" charset="0"/>
                    <a:cs typeface="Times New Roman" panose="02020603050405020304" pitchFamily="18" charset="0"/>
                  </a:rPr>
                  <a:t>(%)</a:t>
                </a:r>
              </a:p>
            </c:rich>
          </c:tx>
          <c:overlay val="0"/>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1826729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'[05.Vendas_ingredientes_ativos_UF_2017.xlsx]Vendas_IA_88_2017'!$V$96</c:f>
              <c:strCache>
                <c:ptCount val="1"/>
                <c:pt idx="0">
                  <c:v>Brasil</c:v>
                </c:pt>
              </c:strCache>
            </c:strRef>
          </c:tx>
          <c:spPr>
            <a:solidFill>
              <a:schemeClr val="accent2"/>
            </a:solidFill>
            <a:ln>
              <a:noFill/>
            </a:ln>
            <a:effectLst/>
          </c:spPr>
          <c:invertIfNegative val="0"/>
          <c:val>
            <c:numRef>
              <c:f>'[05.Vendas_ingredientes_ativos_UF_2017.xlsx]Vendas_IA_88_2017'!$V$97:$V$112</c:f>
              <c:numCache>
                <c:formatCode>#,##0.00</c:formatCode>
                <c:ptCount val="16"/>
                <c:pt idx="0">
                  <c:v>162461.96</c:v>
                </c:pt>
                <c:pt idx="1">
                  <c:v>158305.04999999999</c:v>
                </c:pt>
                <c:pt idx="2">
                  <c:v>145985.24</c:v>
                </c:pt>
                <c:pt idx="3">
                  <c:v>169861.56</c:v>
                </c:pt>
                <c:pt idx="4">
                  <c:v>211827.54</c:v>
                </c:pt>
                <c:pt idx="5">
                  <c:v>206591.75</c:v>
                </c:pt>
                <c:pt idx="6">
                  <c:v>204124.24</c:v>
                </c:pt>
                <c:pt idx="7">
                  <c:v>305239.3</c:v>
                </c:pt>
                <c:pt idx="8">
                  <c:v>361661.69</c:v>
                </c:pt>
                <c:pt idx="9">
                  <c:v>419528.63</c:v>
                </c:pt>
                <c:pt idx="10">
                  <c:v>476554.86</c:v>
                </c:pt>
                <c:pt idx="11">
                  <c:v>495772.6</c:v>
                </c:pt>
                <c:pt idx="12">
                  <c:v>508556.84</c:v>
                </c:pt>
                <c:pt idx="13">
                  <c:v>521525.4</c:v>
                </c:pt>
                <c:pt idx="14">
                  <c:v>541861.09</c:v>
                </c:pt>
                <c:pt idx="15">
                  <c:v>539944.94999999995</c:v>
                </c:pt>
              </c:numCache>
            </c:numRef>
          </c:val>
          <c:extLst>
            <c:ext xmlns:c16="http://schemas.microsoft.com/office/drawing/2014/chart" uri="{C3380CC4-5D6E-409C-BE32-E72D297353CC}">
              <c16:uniqueId val="{00000000-32FD-457E-ADDB-192E06B2B465}"/>
            </c:ext>
          </c:extLst>
        </c:ser>
        <c:dLbls>
          <c:showLegendKey val="0"/>
          <c:showVal val="0"/>
          <c:showCatName val="0"/>
          <c:showSerName val="0"/>
          <c:showPercent val="0"/>
          <c:showBubbleSize val="0"/>
        </c:dLbls>
        <c:gapWidth val="150"/>
        <c:axId val="524172080"/>
        <c:axId val="524172640"/>
      </c:barChart>
      <c:lineChart>
        <c:grouping val="standard"/>
        <c:varyColors val="0"/>
        <c:ser>
          <c:idx val="2"/>
          <c:order val="1"/>
          <c:tx>
            <c:strRef>
              <c:f>'[05.Vendas_ingredientes_ativos_UF_2017.xlsx]Vendas_IA_88_2017'!$W$96</c:f>
              <c:strCache>
                <c:ptCount val="1"/>
                <c:pt idx="0">
                  <c:v>Centro-Oeste</c:v>
                </c:pt>
              </c:strCache>
            </c:strRef>
          </c:tx>
          <c:spPr>
            <a:ln w="28575" cap="rnd">
              <a:solidFill>
                <a:schemeClr val="accent3"/>
              </a:solidFill>
              <a:round/>
            </a:ln>
            <a:effectLst/>
          </c:spPr>
          <c:marker>
            <c:symbol val="none"/>
          </c:marker>
          <c:cat>
            <c:numRef>
              <c:f>'[05.Vendas_ingredientes_ativos_UF_2017.xlsx]Vendas_IA_88_2017'!$U$97:$U$112</c:f>
              <c:numCache>
                <c:formatCode>General</c:formatCode>
                <c:ptCount val="16"/>
                <c:pt idx="0">
                  <c:v>2000</c:v>
                </c:pt>
                <c:pt idx="1">
                  <c:v>2001</c:v>
                </c:pt>
                <c:pt idx="2">
                  <c:v>2002</c:v>
                </c:pt>
                <c:pt idx="3">
                  <c:v>2003</c:v>
                </c:pt>
                <c:pt idx="4">
                  <c:v>2004</c:v>
                </c:pt>
                <c:pt idx="5">
                  <c:v>2005</c:v>
                </c:pt>
                <c:pt idx="6">
                  <c:v>2006</c:v>
                </c:pt>
                <c:pt idx="7">
                  <c:v>2009</c:v>
                </c:pt>
                <c:pt idx="8">
                  <c:v>2010</c:v>
                </c:pt>
                <c:pt idx="9">
                  <c:v>2011</c:v>
                </c:pt>
                <c:pt idx="10">
                  <c:v>2012</c:v>
                </c:pt>
                <c:pt idx="11">
                  <c:v>2013</c:v>
                </c:pt>
                <c:pt idx="12">
                  <c:v>2014</c:v>
                </c:pt>
                <c:pt idx="13">
                  <c:v>2015</c:v>
                </c:pt>
                <c:pt idx="14">
                  <c:v>2016</c:v>
                </c:pt>
                <c:pt idx="15">
                  <c:v>2017</c:v>
                </c:pt>
              </c:numCache>
            </c:numRef>
          </c:cat>
          <c:val>
            <c:numRef>
              <c:f>'[05.Vendas_ingredientes_ativos_UF_2017.xlsx]Vendas_IA_88_2017'!$W$97:$W$112</c:f>
              <c:numCache>
                <c:formatCode>#,##0.00</c:formatCode>
                <c:ptCount val="16"/>
                <c:pt idx="0">
                  <c:v>40408.11</c:v>
                </c:pt>
                <c:pt idx="1">
                  <c:v>37814.800000000003</c:v>
                </c:pt>
                <c:pt idx="2">
                  <c:v>33250.01</c:v>
                </c:pt>
                <c:pt idx="3">
                  <c:v>45572.78</c:v>
                </c:pt>
                <c:pt idx="4">
                  <c:v>61943.93</c:v>
                </c:pt>
                <c:pt idx="5">
                  <c:v>58185.7</c:v>
                </c:pt>
                <c:pt idx="6">
                  <c:v>63070.39</c:v>
                </c:pt>
                <c:pt idx="7">
                  <c:v>70818.47</c:v>
                </c:pt>
                <c:pt idx="8">
                  <c:v>95797.95</c:v>
                </c:pt>
                <c:pt idx="9">
                  <c:v>109233.09</c:v>
                </c:pt>
                <c:pt idx="10">
                  <c:v>134551.87</c:v>
                </c:pt>
                <c:pt idx="11">
                  <c:v>159855.94</c:v>
                </c:pt>
                <c:pt idx="12">
                  <c:v>166181.79</c:v>
                </c:pt>
                <c:pt idx="13">
                  <c:v>171382.72</c:v>
                </c:pt>
                <c:pt idx="14">
                  <c:v>185530.03</c:v>
                </c:pt>
                <c:pt idx="15">
                  <c:v>178543.82</c:v>
                </c:pt>
              </c:numCache>
            </c:numRef>
          </c:val>
          <c:smooth val="0"/>
          <c:extLst>
            <c:ext xmlns:c16="http://schemas.microsoft.com/office/drawing/2014/chart" uri="{C3380CC4-5D6E-409C-BE32-E72D297353CC}">
              <c16:uniqueId val="{00000001-32FD-457E-ADDB-192E06B2B465}"/>
            </c:ext>
          </c:extLst>
        </c:ser>
        <c:ser>
          <c:idx val="4"/>
          <c:order val="2"/>
          <c:tx>
            <c:strRef>
              <c:f>'[05.Vendas_ingredientes_ativos_UF_2017.xlsx]Vendas_IA_88_2017'!$Y$96</c:f>
              <c:strCache>
                <c:ptCount val="1"/>
                <c:pt idx="0">
                  <c:v>Mato Grosso</c:v>
                </c:pt>
              </c:strCache>
            </c:strRef>
          </c:tx>
          <c:spPr>
            <a:ln w="28575" cap="rnd">
              <a:solidFill>
                <a:schemeClr val="accent5"/>
              </a:solidFill>
              <a:round/>
            </a:ln>
            <a:effectLst/>
          </c:spPr>
          <c:marker>
            <c:symbol val="none"/>
          </c:marker>
          <c:cat>
            <c:numRef>
              <c:f>'[05.Vendas_ingredientes_ativos_UF_2017.xlsx]Vendas_IA_88_2017'!$U$97:$U$112</c:f>
              <c:numCache>
                <c:formatCode>General</c:formatCode>
                <c:ptCount val="16"/>
                <c:pt idx="0">
                  <c:v>2000</c:v>
                </c:pt>
                <c:pt idx="1">
                  <c:v>2001</c:v>
                </c:pt>
                <c:pt idx="2">
                  <c:v>2002</c:v>
                </c:pt>
                <c:pt idx="3">
                  <c:v>2003</c:v>
                </c:pt>
                <c:pt idx="4">
                  <c:v>2004</c:v>
                </c:pt>
                <c:pt idx="5">
                  <c:v>2005</c:v>
                </c:pt>
                <c:pt idx="6">
                  <c:v>2006</c:v>
                </c:pt>
                <c:pt idx="7">
                  <c:v>2009</c:v>
                </c:pt>
                <c:pt idx="8">
                  <c:v>2010</c:v>
                </c:pt>
                <c:pt idx="9">
                  <c:v>2011</c:v>
                </c:pt>
                <c:pt idx="10">
                  <c:v>2012</c:v>
                </c:pt>
                <c:pt idx="11">
                  <c:v>2013</c:v>
                </c:pt>
                <c:pt idx="12">
                  <c:v>2014</c:v>
                </c:pt>
                <c:pt idx="13">
                  <c:v>2015</c:v>
                </c:pt>
                <c:pt idx="14">
                  <c:v>2016</c:v>
                </c:pt>
                <c:pt idx="15">
                  <c:v>2017</c:v>
                </c:pt>
              </c:numCache>
            </c:numRef>
          </c:cat>
          <c:val>
            <c:numRef>
              <c:f>'[05.Vendas_ingredientes_ativos_UF_2017.xlsx]Vendas_IA_88_2017'!$Y$97:$Y$112</c:f>
              <c:numCache>
                <c:formatCode>#,##0.00</c:formatCode>
                <c:ptCount val="16"/>
                <c:pt idx="0">
                  <c:v>18077.62</c:v>
                </c:pt>
                <c:pt idx="1">
                  <c:v>16446.939999999999</c:v>
                </c:pt>
                <c:pt idx="2">
                  <c:v>15550.2</c:v>
                </c:pt>
                <c:pt idx="3">
                  <c:v>21881.82</c:v>
                </c:pt>
                <c:pt idx="4">
                  <c:v>32084.17</c:v>
                </c:pt>
                <c:pt idx="5">
                  <c:v>32112.51</c:v>
                </c:pt>
                <c:pt idx="6">
                  <c:v>35265.379999999997</c:v>
                </c:pt>
                <c:pt idx="7">
                  <c:v>40555.730000000003</c:v>
                </c:pt>
                <c:pt idx="8">
                  <c:v>53437.91</c:v>
                </c:pt>
                <c:pt idx="9">
                  <c:v>60446.53</c:v>
                </c:pt>
                <c:pt idx="10">
                  <c:v>71057.179999999993</c:v>
                </c:pt>
                <c:pt idx="11">
                  <c:v>87520.39</c:v>
                </c:pt>
                <c:pt idx="12">
                  <c:v>91290.46</c:v>
                </c:pt>
                <c:pt idx="13">
                  <c:v>93402.44</c:v>
                </c:pt>
                <c:pt idx="14">
                  <c:v>104901.05</c:v>
                </c:pt>
                <c:pt idx="15">
                  <c:v>100638.47</c:v>
                </c:pt>
              </c:numCache>
            </c:numRef>
          </c:val>
          <c:smooth val="0"/>
          <c:extLst>
            <c:ext xmlns:c16="http://schemas.microsoft.com/office/drawing/2014/chart" uri="{C3380CC4-5D6E-409C-BE32-E72D297353CC}">
              <c16:uniqueId val="{00000002-32FD-457E-ADDB-192E06B2B465}"/>
            </c:ext>
          </c:extLst>
        </c:ser>
        <c:dLbls>
          <c:showLegendKey val="0"/>
          <c:showVal val="0"/>
          <c:showCatName val="0"/>
          <c:showSerName val="0"/>
          <c:showPercent val="0"/>
          <c:showBubbleSize val="0"/>
        </c:dLbls>
        <c:marker val="1"/>
        <c:smooth val="0"/>
        <c:axId val="524172080"/>
        <c:axId val="524172640"/>
      </c:lineChart>
      <c:catAx>
        <c:axId val="5241720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t-BR"/>
          </a:p>
        </c:txPr>
        <c:crossAx val="524172640"/>
        <c:crosses val="autoZero"/>
        <c:auto val="1"/>
        <c:lblAlgn val="ctr"/>
        <c:lblOffset val="100"/>
        <c:noMultiLvlLbl val="0"/>
      </c:catAx>
      <c:valAx>
        <c:axId val="52417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a:t>Tonelada de Ingrediente Ativo</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pt-BR"/>
          </a:p>
        </c:txPr>
        <c:crossAx val="524172080"/>
        <c:crosses val="autoZero"/>
        <c:crossBetween val="between"/>
      </c:valAx>
      <c:spPr>
        <a:noFill/>
        <a:ln>
          <a:noFill/>
        </a:ln>
        <a:effectLst/>
      </c:spPr>
    </c:plotArea>
    <c:legend>
      <c:legendPos val="b"/>
      <c:overlay val="0"/>
      <c:spPr>
        <a:noFill/>
        <a:ln>
          <a:noFill/>
        </a:ln>
        <a:effectLst/>
      </c:spPr>
      <c:txPr>
        <a:bodyPr rot="0" vert="horz"/>
        <a:lstStyle/>
        <a:p>
          <a:pPr>
            <a:defRPr/>
          </a:pPr>
          <a:endParaRPr lang="pt-BR"/>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'Área plantada (Hectares)'!$A$14</c:f>
              <c:strCache>
                <c:ptCount val="1"/>
                <c:pt idx="0">
                  <c:v>Área plantada (Hectares)</c:v>
                </c:pt>
              </c:strCache>
            </c:strRef>
          </c:tx>
          <c:spPr>
            <a:solidFill>
              <a:schemeClr val="accent1"/>
            </a:solidFill>
            <a:ln>
              <a:noFill/>
            </a:ln>
            <a:effectLst/>
          </c:spPr>
          <c:invertIfNegative val="0"/>
          <c:cat>
            <c:strRef>
              <c:f>'Área plantada (Hectares)'!$B$13:$P$13</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'Área plantada (Hectares)'!$B$14:$P$14</c:f>
              <c:numCache>
                <c:formatCode>General</c:formatCode>
                <c:ptCount val="15"/>
                <c:pt idx="0">
                  <c:v>4414496</c:v>
                </c:pt>
                <c:pt idx="1">
                  <c:v>5279928</c:v>
                </c:pt>
                <c:pt idx="2">
                  <c:v>6121724</c:v>
                </c:pt>
                <c:pt idx="3">
                  <c:v>5822867</c:v>
                </c:pt>
                <c:pt idx="4">
                  <c:v>5075079</c:v>
                </c:pt>
                <c:pt idx="5">
                  <c:v>5659149</c:v>
                </c:pt>
                <c:pt idx="6">
                  <c:v>5831468</c:v>
                </c:pt>
                <c:pt idx="7">
                  <c:v>6227044</c:v>
                </c:pt>
                <c:pt idx="8">
                  <c:v>6455871</c:v>
                </c:pt>
                <c:pt idx="9">
                  <c:v>6980690</c:v>
                </c:pt>
                <c:pt idx="10">
                  <c:v>7931905</c:v>
                </c:pt>
                <c:pt idx="11">
                  <c:v>8628608</c:v>
                </c:pt>
                <c:pt idx="12">
                  <c:v>8983683</c:v>
                </c:pt>
                <c:pt idx="13">
                  <c:v>9147863</c:v>
                </c:pt>
                <c:pt idx="14">
                  <c:v>9287302</c:v>
                </c:pt>
              </c:numCache>
            </c:numRef>
          </c:val>
          <c:extLst>
            <c:ext xmlns:c16="http://schemas.microsoft.com/office/drawing/2014/chart" uri="{C3380CC4-5D6E-409C-BE32-E72D297353CC}">
              <c16:uniqueId val="{00000000-AC31-4750-9497-7E73642FAB29}"/>
            </c:ext>
          </c:extLst>
        </c:ser>
        <c:dLbls>
          <c:showLegendKey val="0"/>
          <c:showVal val="0"/>
          <c:showCatName val="0"/>
          <c:showSerName val="0"/>
          <c:showPercent val="0"/>
          <c:showBubbleSize val="0"/>
        </c:dLbls>
        <c:gapWidth val="150"/>
        <c:axId val="524175440"/>
        <c:axId val="524176000"/>
      </c:barChart>
      <c:lineChart>
        <c:grouping val="standard"/>
        <c:varyColors val="0"/>
        <c:ser>
          <c:idx val="1"/>
          <c:order val="1"/>
          <c:tx>
            <c:strRef>
              <c:f>'Área plantada (Hectares)'!$A$15</c:f>
              <c:strCache>
                <c:ptCount val="1"/>
                <c:pt idx="0">
                  <c:v> Rendimento médio da produção (Quilogramas por Hectare)</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strRef>
              <c:f>'Área plantada (Hectares)'!$B$13:$P$13</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'Área plantada (Hectares)'!$B$15:$P$15</c:f>
              <c:numCache>
                <c:formatCode>General</c:formatCode>
                <c:ptCount val="15"/>
                <c:pt idx="0">
                  <c:v>2937</c:v>
                </c:pt>
                <c:pt idx="1">
                  <c:v>2758</c:v>
                </c:pt>
                <c:pt idx="2">
                  <c:v>2908</c:v>
                </c:pt>
                <c:pt idx="3">
                  <c:v>2683</c:v>
                </c:pt>
                <c:pt idx="4">
                  <c:v>3009</c:v>
                </c:pt>
                <c:pt idx="5">
                  <c:v>3145</c:v>
                </c:pt>
                <c:pt idx="6">
                  <c:v>3080</c:v>
                </c:pt>
                <c:pt idx="7">
                  <c:v>3017</c:v>
                </c:pt>
                <c:pt idx="8">
                  <c:v>3223</c:v>
                </c:pt>
                <c:pt idx="9">
                  <c:v>3129</c:v>
                </c:pt>
                <c:pt idx="10">
                  <c:v>2959</c:v>
                </c:pt>
                <c:pt idx="11">
                  <c:v>3076</c:v>
                </c:pt>
                <c:pt idx="12">
                  <c:v>3106</c:v>
                </c:pt>
                <c:pt idx="13">
                  <c:v>2887</c:v>
                </c:pt>
                <c:pt idx="14">
                  <c:v>3290</c:v>
                </c:pt>
              </c:numCache>
            </c:numRef>
          </c:val>
          <c:smooth val="0"/>
          <c:extLst>
            <c:ext xmlns:c16="http://schemas.microsoft.com/office/drawing/2014/chart" uri="{C3380CC4-5D6E-409C-BE32-E72D297353CC}">
              <c16:uniqueId val="{00000002-AC31-4750-9497-7E73642FAB29}"/>
            </c:ext>
          </c:extLst>
        </c:ser>
        <c:dLbls>
          <c:showLegendKey val="0"/>
          <c:showVal val="0"/>
          <c:showCatName val="0"/>
          <c:showSerName val="0"/>
          <c:showPercent val="0"/>
          <c:showBubbleSize val="0"/>
        </c:dLbls>
        <c:marker val="1"/>
        <c:smooth val="0"/>
        <c:axId val="524177120"/>
        <c:axId val="524176560"/>
      </c:lineChart>
      <c:catAx>
        <c:axId val="52417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24176000"/>
        <c:crosses val="autoZero"/>
        <c:auto val="1"/>
        <c:lblAlgn val="ctr"/>
        <c:lblOffset val="100"/>
        <c:noMultiLvlLbl val="0"/>
      </c:catAx>
      <c:valAx>
        <c:axId val="52417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pt-B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Hectares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24175440"/>
        <c:crosses val="autoZero"/>
        <c:crossBetween val="between"/>
      </c:valAx>
      <c:valAx>
        <c:axId val="52417656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latin typeface="Times New Roman" panose="02020603050405020304" pitchFamily="18" charset="0"/>
                    <a:cs typeface="Times New Roman" panose="02020603050405020304" pitchFamily="18" charset="0"/>
                  </a:rPr>
                  <a:t>Quilogramas por Hectare</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24177120"/>
        <c:crosses val="max"/>
        <c:crossBetween val="between"/>
      </c:valAx>
      <c:catAx>
        <c:axId val="524177120"/>
        <c:scaling>
          <c:orientation val="minMax"/>
        </c:scaling>
        <c:delete val="1"/>
        <c:axPos val="b"/>
        <c:numFmt formatCode="General" sourceLinked="1"/>
        <c:majorTickMark val="out"/>
        <c:minorTickMark val="none"/>
        <c:tickLblPos val="nextTo"/>
        <c:crossAx val="524176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q9pUGcVd1xMk7hvrdPBfkYQMIA==">AMUW2mUgUPeNEBf6TNwRYiLLLo4J2H3/006fEfE3sHKlwmEBrgVCvnLVUuGOgy9PKXlrENAscYKZtLjMutMT+7odeL4xm2hk0mTQx6/LsGOOmoB11MRhOANeelkVMFKDCUzMcacddgFk</go:docsCustomData>
</go:gDocsCustomXmlDataStorage>
</file>

<file path=customXml/itemProps1.xml><?xml version="1.0" encoding="utf-8"?>
<ds:datastoreItem xmlns:ds="http://schemas.openxmlformats.org/officeDocument/2006/customXml" ds:itemID="{780EBF9C-8B15-4732-9266-748CCFADA0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9005</Words>
  <Characters>48628</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 Romanha de Alcântara</dc:creator>
  <cp:lastModifiedBy>Claudia</cp:lastModifiedBy>
  <cp:revision>21</cp:revision>
  <cp:lastPrinted>2020-04-05T20:13:00Z</cp:lastPrinted>
  <dcterms:created xsi:type="dcterms:W3CDTF">2020-11-11T14:55:00Z</dcterms:created>
  <dcterms:modified xsi:type="dcterms:W3CDTF">2020-11-14T15:40:00Z</dcterms:modified>
</cp:coreProperties>
</file>