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2E7" w:rsidRPr="00BC1D43" w:rsidRDefault="005D2CE6" w:rsidP="00BC1D43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D43">
        <w:rPr>
          <w:rFonts w:ascii="Times New Roman" w:hAnsi="Times New Roman" w:cs="Times New Roman"/>
          <w:b/>
          <w:sz w:val="28"/>
          <w:szCs w:val="28"/>
        </w:rPr>
        <w:t xml:space="preserve">Qualidade de mudas de espécies florestais nativas </w:t>
      </w:r>
      <w:proofErr w:type="gramStart"/>
      <w:r w:rsidRPr="00BC1D43">
        <w:rPr>
          <w:rFonts w:ascii="Times New Roman" w:hAnsi="Times New Roman" w:cs="Times New Roman"/>
          <w:b/>
          <w:sz w:val="28"/>
          <w:szCs w:val="28"/>
        </w:rPr>
        <w:t>sob efeito</w:t>
      </w:r>
      <w:proofErr w:type="gramEnd"/>
      <w:r w:rsidRPr="00BC1D43">
        <w:rPr>
          <w:rFonts w:ascii="Times New Roman" w:hAnsi="Times New Roman" w:cs="Times New Roman"/>
          <w:b/>
          <w:sz w:val="28"/>
          <w:szCs w:val="28"/>
        </w:rPr>
        <w:t xml:space="preserve"> de diferentes recipientes e dosagens de fertilizante fosfatado</w:t>
      </w:r>
    </w:p>
    <w:p w:rsidR="007F0DC0" w:rsidRPr="00BC1D43" w:rsidRDefault="006022E7" w:rsidP="00BC1D4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D43">
        <w:rPr>
          <w:rFonts w:ascii="Times New Roman" w:hAnsi="Times New Roman" w:cs="Times New Roman"/>
          <w:b/>
          <w:sz w:val="24"/>
          <w:szCs w:val="24"/>
        </w:rPr>
        <w:t>RESUMO:</w:t>
      </w:r>
      <w:r w:rsidRPr="00BC1D43">
        <w:rPr>
          <w:rFonts w:ascii="Times New Roman" w:hAnsi="Times New Roman" w:cs="Times New Roman"/>
          <w:sz w:val="24"/>
          <w:szCs w:val="24"/>
        </w:rPr>
        <w:t xml:space="preserve"> O objet</w:t>
      </w:r>
      <w:r w:rsidR="00CF4556" w:rsidRPr="00BC1D43">
        <w:rPr>
          <w:rFonts w:ascii="Times New Roman" w:hAnsi="Times New Roman" w:cs="Times New Roman"/>
          <w:sz w:val="24"/>
          <w:szCs w:val="24"/>
        </w:rPr>
        <w:t>ivo deste trabalho foi avaliar</w:t>
      </w:r>
      <w:r w:rsidRPr="00BC1D43">
        <w:rPr>
          <w:rFonts w:ascii="Times New Roman" w:hAnsi="Times New Roman" w:cs="Times New Roman"/>
          <w:sz w:val="24"/>
          <w:szCs w:val="24"/>
        </w:rPr>
        <w:t xml:space="preserve"> a qualidade de mudas de quatro espécies florestais nativas </w:t>
      </w:r>
      <w:r w:rsidR="00CF4556" w:rsidRPr="00BC1D43">
        <w:rPr>
          <w:rFonts w:ascii="Times New Roman" w:hAnsi="Times New Roman" w:cs="Times New Roman"/>
          <w:sz w:val="24"/>
          <w:szCs w:val="24"/>
        </w:rPr>
        <w:t>produzidas utilizando diferentes dosagens de fertilizante fosfatado e recipientes de produção, visando encontrar qu</w:t>
      </w:r>
      <w:r w:rsidR="007838C7" w:rsidRPr="00BC1D43">
        <w:rPr>
          <w:rFonts w:ascii="Times New Roman" w:hAnsi="Times New Roman" w:cs="Times New Roman"/>
          <w:sz w:val="24"/>
          <w:szCs w:val="24"/>
        </w:rPr>
        <w:t xml:space="preserve">al o recipiente que maximiza o Índice de </w:t>
      </w:r>
      <w:r w:rsidR="00CF4556" w:rsidRPr="00BC1D43">
        <w:rPr>
          <w:rFonts w:ascii="Times New Roman" w:hAnsi="Times New Roman" w:cs="Times New Roman"/>
          <w:sz w:val="24"/>
          <w:szCs w:val="24"/>
        </w:rPr>
        <w:t>Q</w:t>
      </w:r>
      <w:r w:rsidR="007838C7" w:rsidRPr="00BC1D43">
        <w:rPr>
          <w:rFonts w:ascii="Times New Roman" w:hAnsi="Times New Roman" w:cs="Times New Roman"/>
          <w:sz w:val="24"/>
          <w:szCs w:val="24"/>
        </w:rPr>
        <w:t xml:space="preserve">ualidade de </w:t>
      </w:r>
      <w:r w:rsidR="00CF4556" w:rsidRPr="00BC1D43">
        <w:rPr>
          <w:rFonts w:ascii="Times New Roman" w:hAnsi="Times New Roman" w:cs="Times New Roman"/>
          <w:sz w:val="24"/>
          <w:szCs w:val="24"/>
        </w:rPr>
        <w:t>D</w:t>
      </w:r>
      <w:r w:rsidR="007838C7" w:rsidRPr="00BC1D43">
        <w:rPr>
          <w:rFonts w:ascii="Times New Roman" w:hAnsi="Times New Roman" w:cs="Times New Roman"/>
          <w:sz w:val="24"/>
          <w:szCs w:val="24"/>
        </w:rPr>
        <w:t>ickson</w:t>
      </w:r>
      <w:r w:rsidRPr="00BC1D43">
        <w:rPr>
          <w:rFonts w:ascii="Times New Roman" w:hAnsi="Times New Roman" w:cs="Times New Roman"/>
          <w:sz w:val="24"/>
          <w:szCs w:val="24"/>
        </w:rPr>
        <w:t xml:space="preserve">. </w:t>
      </w:r>
      <w:r w:rsidR="000C6B35" w:rsidRPr="00BC1D43">
        <w:rPr>
          <w:rFonts w:ascii="Times New Roman" w:hAnsi="Times New Roman" w:cs="Times New Roman"/>
          <w:sz w:val="24"/>
          <w:szCs w:val="24"/>
        </w:rPr>
        <w:t>O experimento foi realizado em deline</w:t>
      </w:r>
      <w:r w:rsidR="00A421B3" w:rsidRPr="00BC1D43">
        <w:rPr>
          <w:rFonts w:ascii="Times New Roman" w:hAnsi="Times New Roman" w:cs="Times New Roman"/>
          <w:sz w:val="24"/>
          <w:szCs w:val="24"/>
        </w:rPr>
        <w:t xml:space="preserve">amento inteiramente </w:t>
      </w:r>
      <w:proofErr w:type="spellStart"/>
      <w:r w:rsidR="00A421B3" w:rsidRPr="00BC1D43">
        <w:rPr>
          <w:rFonts w:ascii="Times New Roman" w:hAnsi="Times New Roman" w:cs="Times New Roman"/>
          <w:sz w:val="24"/>
          <w:szCs w:val="24"/>
        </w:rPr>
        <w:t>casualisado</w:t>
      </w:r>
      <w:proofErr w:type="spellEnd"/>
      <w:r w:rsidR="000C6B35" w:rsidRPr="00BC1D43">
        <w:rPr>
          <w:rFonts w:ascii="Times New Roman" w:hAnsi="Times New Roman" w:cs="Times New Roman"/>
          <w:sz w:val="24"/>
          <w:szCs w:val="24"/>
        </w:rPr>
        <w:t xml:space="preserve">. </w:t>
      </w:r>
      <w:r w:rsidRPr="00BC1D43">
        <w:rPr>
          <w:rFonts w:ascii="Times New Roman" w:hAnsi="Times New Roman" w:cs="Times New Roman"/>
          <w:sz w:val="24"/>
          <w:szCs w:val="24"/>
        </w:rPr>
        <w:t xml:space="preserve">Os parâmetros mensurados foram altura total, diâmetro do coleto, massa seca de parte aérea e massa seca de raiz, 75 dias após a emergência para determinação do Índice de Qualidade de Dickson. </w:t>
      </w:r>
      <w:r w:rsidR="000C6B35" w:rsidRPr="00BC1D43">
        <w:rPr>
          <w:rFonts w:ascii="Times New Roman" w:hAnsi="Times New Roman" w:cs="Times New Roman"/>
          <w:sz w:val="24"/>
          <w:szCs w:val="24"/>
        </w:rPr>
        <w:t xml:space="preserve">Os dados foram descritos através de média e desvio-padrão. Foi utilizado o teste de Mann-Whitney para comparação de médias </w:t>
      </w:r>
      <w:proofErr w:type="gramStart"/>
      <w:r w:rsidR="000C6B35" w:rsidRPr="00BC1D43">
        <w:rPr>
          <w:rFonts w:ascii="Times New Roman" w:hAnsi="Times New Roman" w:cs="Times New Roman"/>
          <w:sz w:val="24"/>
          <w:szCs w:val="24"/>
        </w:rPr>
        <w:t>não-pareadas</w:t>
      </w:r>
      <w:proofErr w:type="gramEnd"/>
      <w:r w:rsidR="000C6B35" w:rsidRPr="00BC1D43">
        <w:rPr>
          <w:rFonts w:ascii="Times New Roman" w:hAnsi="Times New Roman" w:cs="Times New Roman"/>
          <w:sz w:val="24"/>
          <w:szCs w:val="24"/>
        </w:rPr>
        <w:t>. O nível de significância adotado foi de 5% e o software utilizado foi o SPSS for Windows versão 17</w:t>
      </w:r>
      <w:r w:rsidRPr="00BC1D43">
        <w:rPr>
          <w:rFonts w:ascii="Times New Roman" w:hAnsi="Times New Roman" w:cs="Times New Roman"/>
          <w:sz w:val="24"/>
          <w:szCs w:val="24"/>
        </w:rPr>
        <w:t xml:space="preserve">. </w:t>
      </w:r>
      <w:r w:rsidR="007F0DC0" w:rsidRPr="00BC1D43">
        <w:rPr>
          <w:rFonts w:ascii="Times New Roman" w:hAnsi="Times New Roman" w:cs="Times New Roman"/>
          <w:sz w:val="24"/>
          <w:szCs w:val="24"/>
        </w:rPr>
        <w:t>Diferentes concentrações de P</w:t>
      </w:r>
      <w:r w:rsidR="007F0DC0" w:rsidRPr="00BC1D4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F0DC0" w:rsidRPr="00BC1D43">
        <w:rPr>
          <w:rFonts w:ascii="Times New Roman" w:hAnsi="Times New Roman" w:cs="Times New Roman"/>
          <w:sz w:val="24"/>
          <w:szCs w:val="24"/>
        </w:rPr>
        <w:t>O</w:t>
      </w:r>
      <w:r w:rsidR="007F0DC0" w:rsidRPr="00BC1D43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7F0DC0" w:rsidRPr="00BC1D43">
        <w:rPr>
          <w:rFonts w:ascii="Times New Roman" w:hAnsi="Times New Roman" w:cs="Times New Roman"/>
          <w:sz w:val="24"/>
          <w:szCs w:val="24"/>
        </w:rPr>
        <w:t xml:space="preserve"> </w:t>
      </w:r>
      <w:r w:rsidR="00502649" w:rsidRPr="00BC1D43">
        <w:rPr>
          <w:rFonts w:ascii="Times New Roman" w:hAnsi="Times New Roman" w:cs="Times New Roman"/>
          <w:sz w:val="24"/>
          <w:szCs w:val="24"/>
        </w:rPr>
        <w:t>ind</w:t>
      </w:r>
      <w:r w:rsidR="007F0DC0" w:rsidRPr="00BC1D43">
        <w:rPr>
          <w:rFonts w:ascii="Times New Roman" w:hAnsi="Times New Roman" w:cs="Times New Roman"/>
          <w:sz w:val="24"/>
          <w:szCs w:val="24"/>
        </w:rPr>
        <w:t xml:space="preserve">icaram que o recipiente ótimo de produção para as espécies avaliadas </w:t>
      </w:r>
      <w:r w:rsidR="00502649" w:rsidRPr="00BC1D43">
        <w:rPr>
          <w:rFonts w:ascii="Times New Roman" w:hAnsi="Times New Roman" w:cs="Times New Roman"/>
          <w:sz w:val="24"/>
          <w:szCs w:val="24"/>
        </w:rPr>
        <w:t>foi</w:t>
      </w:r>
      <w:r w:rsidR="007F0DC0" w:rsidRPr="00BC1D43">
        <w:rPr>
          <w:rFonts w:ascii="Times New Roman" w:hAnsi="Times New Roman" w:cs="Times New Roman"/>
          <w:sz w:val="24"/>
          <w:szCs w:val="24"/>
        </w:rPr>
        <w:t xml:space="preserve"> o tubete de 120 cm³, promovendo os maiores Índices de Qualidade de Dickson.</w:t>
      </w:r>
    </w:p>
    <w:p w:rsidR="00FC0744" w:rsidRPr="00BC1D43" w:rsidRDefault="006022E7" w:rsidP="00BC1D4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D43">
        <w:rPr>
          <w:rFonts w:ascii="Times New Roman" w:hAnsi="Times New Roman" w:cs="Times New Roman"/>
          <w:b/>
          <w:sz w:val="24"/>
          <w:szCs w:val="24"/>
        </w:rPr>
        <w:t>Palavras-chave</w:t>
      </w:r>
      <w:r w:rsidRPr="00BC1D4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C1D43">
        <w:rPr>
          <w:rFonts w:ascii="Times New Roman" w:hAnsi="Times New Roman" w:cs="Times New Roman"/>
          <w:sz w:val="24"/>
          <w:szCs w:val="24"/>
        </w:rPr>
        <w:t xml:space="preserve"> áreas </w:t>
      </w:r>
      <w:r w:rsidR="005D2CE6" w:rsidRPr="00BC1D43">
        <w:rPr>
          <w:rFonts w:ascii="Times New Roman" w:hAnsi="Times New Roman" w:cs="Times New Roman"/>
          <w:sz w:val="24"/>
          <w:szCs w:val="24"/>
        </w:rPr>
        <w:t>degradadas,</w:t>
      </w:r>
      <w:r w:rsidR="00A421B3" w:rsidRPr="00BC1D43">
        <w:rPr>
          <w:rFonts w:ascii="Times New Roman" w:hAnsi="Times New Roman" w:cs="Times New Roman"/>
          <w:sz w:val="24"/>
          <w:szCs w:val="24"/>
        </w:rPr>
        <w:t xml:space="preserve"> </w:t>
      </w:r>
      <w:r w:rsidR="0059104F" w:rsidRPr="00BC1D43">
        <w:rPr>
          <w:rFonts w:ascii="Times New Roman" w:hAnsi="Times New Roman" w:cs="Times New Roman"/>
          <w:sz w:val="24"/>
          <w:szCs w:val="24"/>
        </w:rPr>
        <w:t>crescimento</w:t>
      </w:r>
      <w:r w:rsidR="005D2CE6" w:rsidRPr="00BC1D43">
        <w:rPr>
          <w:rFonts w:ascii="Times New Roman" w:hAnsi="Times New Roman" w:cs="Times New Roman"/>
          <w:sz w:val="24"/>
          <w:szCs w:val="24"/>
        </w:rPr>
        <w:t xml:space="preserve">, </w:t>
      </w:r>
      <w:r w:rsidR="005D2CE6" w:rsidRPr="00BC1D43">
        <w:rPr>
          <w:rFonts w:ascii="Times New Roman" w:hAnsi="Times New Roman" w:cs="Times New Roman"/>
          <w:sz w:val="24"/>
          <w:szCs w:val="24"/>
        </w:rPr>
        <w:t>mudas</w:t>
      </w:r>
      <w:r w:rsidR="0059104F" w:rsidRPr="00BC1D43">
        <w:rPr>
          <w:rFonts w:ascii="Times New Roman" w:hAnsi="Times New Roman" w:cs="Times New Roman"/>
          <w:sz w:val="24"/>
          <w:szCs w:val="24"/>
        </w:rPr>
        <w:t>.</w:t>
      </w:r>
    </w:p>
    <w:p w:rsidR="006022E7" w:rsidRPr="00BC1D43" w:rsidRDefault="0059104F" w:rsidP="00BC1D43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C1D43">
        <w:rPr>
          <w:rFonts w:ascii="Times New Roman" w:hAnsi="Times New Roman" w:cs="Times New Roman"/>
          <w:sz w:val="24"/>
          <w:szCs w:val="24"/>
          <w:lang w:val="en-US"/>
        </w:rPr>
        <w:br w:type="page"/>
      </w:r>
      <w:r w:rsidR="005D2CE6" w:rsidRPr="00BC1D43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Quality of native forest species seedlings under the effect of different containers and dosages of phosphate fertilizer</w:t>
      </w:r>
    </w:p>
    <w:p w:rsidR="006022E7" w:rsidRPr="00BC1D43" w:rsidRDefault="005D2CE6" w:rsidP="00BC1D4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1D43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FC0744" w:rsidRPr="00BC1D43">
        <w:rPr>
          <w:rFonts w:ascii="Times New Roman" w:hAnsi="Times New Roman" w:cs="Times New Roman"/>
          <w:b/>
          <w:sz w:val="24"/>
          <w:szCs w:val="24"/>
          <w:lang w:val="en-US"/>
        </w:rPr>
        <w:t>BSTRACT:</w:t>
      </w:r>
      <w:r w:rsidR="00FC0744" w:rsidRPr="00BC1D4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358C1">
        <w:rPr>
          <w:rFonts w:ascii="Times New Roman" w:hAnsi="Times New Roman" w:cs="Times New Roman"/>
          <w:sz w:val="24"/>
          <w:szCs w:val="24"/>
          <w:lang w:val="en-US"/>
        </w:rPr>
        <w:t>purpose</w:t>
      </w:r>
      <w:r w:rsidR="00FC0744" w:rsidRPr="00BC1D43">
        <w:rPr>
          <w:rFonts w:ascii="Times New Roman" w:hAnsi="Times New Roman" w:cs="Times New Roman"/>
          <w:sz w:val="24"/>
          <w:szCs w:val="24"/>
          <w:lang w:val="en-US"/>
        </w:rPr>
        <w:t xml:space="preserve"> of this study was to evaluate the quality of four native species seedlings produced using different doses of phosphate fertilizer and production </w:t>
      </w:r>
      <w:r w:rsidR="00F757BB" w:rsidRPr="00BC1D43">
        <w:rPr>
          <w:rFonts w:ascii="Times New Roman" w:hAnsi="Times New Roman" w:cs="Times New Roman"/>
          <w:sz w:val="24"/>
          <w:szCs w:val="24"/>
          <w:lang w:val="en-US"/>
        </w:rPr>
        <w:t>containers</w:t>
      </w:r>
      <w:r w:rsidR="00FC0744" w:rsidRPr="00BC1D43">
        <w:rPr>
          <w:rFonts w:ascii="Times New Roman" w:hAnsi="Times New Roman" w:cs="Times New Roman"/>
          <w:sz w:val="24"/>
          <w:szCs w:val="24"/>
          <w:lang w:val="en-US"/>
        </w:rPr>
        <w:t xml:space="preserve">, aimed </w:t>
      </w:r>
      <w:r w:rsidR="00F757BB" w:rsidRPr="00BC1D4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C0744" w:rsidRPr="00BC1D43">
        <w:rPr>
          <w:rFonts w:ascii="Times New Roman" w:hAnsi="Times New Roman" w:cs="Times New Roman"/>
          <w:sz w:val="24"/>
          <w:szCs w:val="24"/>
          <w:lang w:val="en-US"/>
        </w:rPr>
        <w:t xml:space="preserve"> find</w:t>
      </w:r>
      <w:r w:rsidR="00F757BB" w:rsidRPr="00BC1D43">
        <w:rPr>
          <w:rFonts w:ascii="Times New Roman" w:hAnsi="Times New Roman" w:cs="Times New Roman"/>
          <w:sz w:val="24"/>
          <w:szCs w:val="24"/>
          <w:lang w:val="en-US"/>
        </w:rPr>
        <w:t xml:space="preserve"> which</w:t>
      </w:r>
      <w:r w:rsidR="00FC0744" w:rsidRPr="00BC1D43">
        <w:rPr>
          <w:rFonts w:ascii="Times New Roman" w:hAnsi="Times New Roman" w:cs="Times New Roman"/>
          <w:sz w:val="24"/>
          <w:szCs w:val="24"/>
          <w:lang w:val="en-US"/>
        </w:rPr>
        <w:t xml:space="preserve"> container maximizes </w:t>
      </w:r>
      <w:r w:rsidR="00F757BB" w:rsidRPr="00BC1D43">
        <w:rPr>
          <w:rFonts w:ascii="Times New Roman" w:hAnsi="Times New Roman" w:cs="Times New Roman"/>
          <w:sz w:val="24"/>
          <w:szCs w:val="24"/>
          <w:lang w:val="en-US"/>
        </w:rPr>
        <w:t xml:space="preserve">the Dickson </w:t>
      </w:r>
      <w:r w:rsidR="00FC0744" w:rsidRPr="00BC1D43">
        <w:rPr>
          <w:rFonts w:ascii="Times New Roman" w:hAnsi="Times New Roman" w:cs="Times New Roman"/>
          <w:sz w:val="24"/>
          <w:szCs w:val="24"/>
          <w:lang w:val="en-US"/>
        </w:rPr>
        <w:t>Quality Index. The experiment was conducted in a completely randomized design</w:t>
      </w:r>
      <w:r w:rsidR="00A421B3" w:rsidRPr="00BC1D4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C0744" w:rsidRPr="00BC1D43">
        <w:rPr>
          <w:rFonts w:ascii="Times New Roman" w:hAnsi="Times New Roman" w:cs="Times New Roman"/>
          <w:sz w:val="24"/>
          <w:szCs w:val="24"/>
          <w:lang w:val="en-US"/>
        </w:rPr>
        <w:t xml:space="preserve"> The measured parameters were: height, stem diameter, dry weight of </w:t>
      </w:r>
      <w:r w:rsidR="00F757BB" w:rsidRPr="00BC1D43">
        <w:rPr>
          <w:rFonts w:ascii="Times New Roman" w:hAnsi="Times New Roman" w:cs="Times New Roman"/>
          <w:sz w:val="24"/>
          <w:szCs w:val="24"/>
          <w:lang w:val="en-US"/>
        </w:rPr>
        <w:t>aerial</w:t>
      </w:r>
      <w:r w:rsidR="00FC0744" w:rsidRPr="00BC1D43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F757BB" w:rsidRPr="00BC1D43">
        <w:rPr>
          <w:rFonts w:ascii="Times New Roman" w:hAnsi="Times New Roman" w:cs="Times New Roman"/>
          <w:sz w:val="24"/>
          <w:szCs w:val="24"/>
          <w:lang w:val="en-US"/>
        </w:rPr>
        <w:t xml:space="preserve">dry weight of </w:t>
      </w:r>
      <w:r w:rsidR="00FC0744" w:rsidRPr="00BC1D43">
        <w:rPr>
          <w:rFonts w:ascii="Times New Roman" w:hAnsi="Times New Roman" w:cs="Times New Roman"/>
          <w:sz w:val="24"/>
          <w:szCs w:val="24"/>
          <w:lang w:val="en-US"/>
        </w:rPr>
        <w:t>root, 75 days after emergence t</w:t>
      </w:r>
      <w:r w:rsidR="00F757BB" w:rsidRPr="00BC1D43">
        <w:rPr>
          <w:rFonts w:ascii="Times New Roman" w:hAnsi="Times New Roman" w:cs="Times New Roman"/>
          <w:sz w:val="24"/>
          <w:szCs w:val="24"/>
          <w:lang w:val="en-US"/>
        </w:rPr>
        <w:t>o determine the Dickson Quality Index</w:t>
      </w:r>
      <w:r w:rsidR="00FC0744" w:rsidRPr="00BC1D4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757BB" w:rsidRPr="00BC1D4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358C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FC0744" w:rsidRPr="00BC1D43">
        <w:rPr>
          <w:rFonts w:ascii="Times New Roman" w:hAnsi="Times New Roman" w:cs="Times New Roman"/>
          <w:sz w:val="24"/>
          <w:szCs w:val="24"/>
          <w:lang w:val="en-US"/>
        </w:rPr>
        <w:t xml:space="preserve">ata were reported as mean and standard deviation. The Mann-Whitney test for comparison of </w:t>
      </w:r>
      <w:r w:rsidR="00593433">
        <w:rPr>
          <w:rFonts w:ascii="Times New Roman" w:hAnsi="Times New Roman" w:cs="Times New Roman"/>
          <w:sz w:val="24"/>
          <w:szCs w:val="24"/>
          <w:lang w:val="en-US"/>
        </w:rPr>
        <w:t xml:space="preserve">unpaired </w:t>
      </w:r>
      <w:r w:rsidR="00FC0744" w:rsidRPr="00BC1D43">
        <w:rPr>
          <w:rFonts w:ascii="Times New Roman" w:hAnsi="Times New Roman" w:cs="Times New Roman"/>
          <w:sz w:val="24"/>
          <w:szCs w:val="24"/>
          <w:lang w:val="en-US"/>
        </w:rPr>
        <w:t xml:space="preserve">means </w:t>
      </w:r>
      <w:r w:rsidR="00593433">
        <w:rPr>
          <w:rFonts w:ascii="Times New Roman" w:hAnsi="Times New Roman" w:cs="Times New Roman"/>
          <w:sz w:val="24"/>
          <w:szCs w:val="24"/>
          <w:lang w:val="en-US"/>
        </w:rPr>
        <w:t>was used</w:t>
      </w:r>
      <w:r w:rsidR="00FC0744" w:rsidRPr="00BC1D43">
        <w:rPr>
          <w:rFonts w:ascii="Times New Roman" w:hAnsi="Times New Roman" w:cs="Times New Roman"/>
          <w:sz w:val="24"/>
          <w:szCs w:val="24"/>
          <w:lang w:val="en-US"/>
        </w:rPr>
        <w:t>. The significance level was 5% and the software used was SPSS for Windows version 17. Different P</w:t>
      </w:r>
      <w:r w:rsidR="00FC0744" w:rsidRPr="00BC1D4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FC0744" w:rsidRPr="00BC1D43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FC0744" w:rsidRPr="00BC1D4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 w:rsidR="00FC0744" w:rsidRPr="00BC1D43">
        <w:rPr>
          <w:rFonts w:ascii="Times New Roman" w:hAnsi="Times New Roman" w:cs="Times New Roman"/>
          <w:sz w:val="24"/>
          <w:szCs w:val="24"/>
          <w:lang w:val="en-US"/>
        </w:rPr>
        <w:t xml:space="preserve"> concentrations in</w:t>
      </w:r>
      <w:r w:rsidR="00502649" w:rsidRPr="00BC1D43">
        <w:rPr>
          <w:rFonts w:ascii="Times New Roman" w:hAnsi="Times New Roman" w:cs="Times New Roman"/>
          <w:sz w:val="24"/>
          <w:szCs w:val="24"/>
          <w:lang w:val="en-US"/>
        </w:rPr>
        <w:t>dicated</w:t>
      </w:r>
      <w:r w:rsidR="00FC0744" w:rsidRPr="00BC1D43">
        <w:rPr>
          <w:rFonts w:ascii="Times New Roman" w:hAnsi="Times New Roman" w:cs="Times New Roman"/>
          <w:sz w:val="24"/>
          <w:szCs w:val="24"/>
          <w:lang w:val="en-US"/>
        </w:rPr>
        <w:t xml:space="preserve"> that the optimal </w:t>
      </w:r>
      <w:r w:rsidR="00502649" w:rsidRPr="00BC1D43">
        <w:rPr>
          <w:rFonts w:ascii="Times New Roman" w:hAnsi="Times New Roman" w:cs="Times New Roman"/>
          <w:sz w:val="24"/>
          <w:szCs w:val="24"/>
          <w:lang w:val="en-US"/>
        </w:rPr>
        <w:t xml:space="preserve">production </w:t>
      </w:r>
      <w:r w:rsidR="00FC0744" w:rsidRPr="00BC1D43">
        <w:rPr>
          <w:rFonts w:ascii="Times New Roman" w:hAnsi="Times New Roman" w:cs="Times New Roman"/>
          <w:sz w:val="24"/>
          <w:szCs w:val="24"/>
          <w:lang w:val="en-US"/>
        </w:rPr>
        <w:t xml:space="preserve">container for species evaluated is the </w:t>
      </w:r>
      <w:r w:rsidR="00C702A2" w:rsidRPr="00BC1D43">
        <w:rPr>
          <w:rFonts w:ascii="Times New Roman" w:hAnsi="Times New Roman" w:cs="Times New Roman"/>
          <w:sz w:val="24"/>
          <w:szCs w:val="24"/>
          <w:lang w:val="en-US"/>
        </w:rPr>
        <w:t>dibble-tube</w:t>
      </w:r>
      <w:r w:rsidR="00502649" w:rsidRPr="00BC1D43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FC0744" w:rsidRPr="00BC1D43">
        <w:rPr>
          <w:rFonts w:ascii="Times New Roman" w:hAnsi="Times New Roman" w:cs="Times New Roman"/>
          <w:sz w:val="24"/>
          <w:szCs w:val="24"/>
          <w:lang w:val="en-US"/>
        </w:rPr>
        <w:t xml:space="preserve"> 120 cm³, promoting the highest </w:t>
      </w:r>
      <w:r w:rsidR="00502649" w:rsidRPr="00BC1D43">
        <w:rPr>
          <w:rFonts w:ascii="Times New Roman" w:hAnsi="Times New Roman" w:cs="Times New Roman"/>
          <w:sz w:val="24"/>
          <w:szCs w:val="24"/>
          <w:lang w:val="en-US"/>
        </w:rPr>
        <w:t xml:space="preserve">Dickson </w:t>
      </w:r>
      <w:r w:rsidR="00FC0744" w:rsidRPr="00BC1D43">
        <w:rPr>
          <w:rFonts w:ascii="Times New Roman" w:hAnsi="Times New Roman" w:cs="Times New Roman"/>
          <w:sz w:val="24"/>
          <w:szCs w:val="24"/>
          <w:lang w:val="en-US"/>
        </w:rPr>
        <w:t xml:space="preserve">Quality </w:t>
      </w:r>
      <w:r w:rsidR="00502649" w:rsidRPr="00BC1D43">
        <w:rPr>
          <w:rFonts w:ascii="Times New Roman" w:hAnsi="Times New Roman" w:cs="Times New Roman"/>
          <w:sz w:val="24"/>
          <w:szCs w:val="24"/>
          <w:lang w:val="en-US"/>
        </w:rPr>
        <w:t>Indexes</w:t>
      </w:r>
      <w:r w:rsidR="00FC0744" w:rsidRPr="00BC1D4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9104F" w:rsidRPr="00BC1D43" w:rsidRDefault="006022E7" w:rsidP="00BC1D4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1D43">
        <w:rPr>
          <w:rFonts w:ascii="Times New Roman" w:hAnsi="Times New Roman" w:cs="Times New Roman"/>
          <w:b/>
          <w:sz w:val="24"/>
          <w:szCs w:val="24"/>
          <w:lang w:val="en-US"/>
        </w:rPr>
        <w:t>Keywords:</w:t>
      </w:r>
      <w:r w:rsidRPr="00BC1D43">
        <w:rPr>
          <w:rFonts w:ascii="Times New Roman" w:hAnsi="Times New Roman" w:cs="Times New Roman"/>
          <w:sz w:val="24"/>
          <w:szCs w:val="24"/>
          <w:lang w:val="en-US"/>
        </w:rPr>
        <w:t xml:space="preserve"> de</w:t>
      </w:r>
      <w:r w:rsidR="005D2CE6" w:rsidRPr="00BC1D43">
        <w:rPr>
          <w:rFonts w:ascii="Times New Roman" w:hAnsi="Times New Roman" w:cs="Times New Roman"/>
          <w:sz w:val="24"/>
          <w:szCs w:val="24"/>
          <w:lang w:val="en-US"/>
        </w:rPr>
        <w:t xml:space="preserve">graded areas, </w:t>
      </w:r>
      <w:r w:rsidR="005D2CE6" w:rsidRPr="00BC1D43">
        <w:rPr>
          <w:rFonts w:ascii="Times New Roman" w:hAnsi="Times New Roman" w:cs="Times New Roman"/>
          <w:sz w:val="24"/>
          <w:szCs w:val="24"/>
          <w:lang w:val="en-US"/>
        </w:rPr>
        <w:t>growth</w:t>
      </w:r>
      <w:r w:rsidR="005D2CE6" w:rsidRPr="00BC1D43">
        <w:rPr>
          <w:rFonts w:ascii="Times New Roman" w:hAnsi="Times New Roman" w:cs="Times New Roman"/>
          <w:sz w:val="24"/>
          <w:szCs w:val="24"/>
          <w:lang w:val="en-US"/>
        </w:rPr>
        <w:t>, seedlings</w:t>
      </w:r>
      <w:r w:rsidRPr="00BC1D4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022E7" w:rsidRPr="00BC1D43" w:rsidRDefault="006022E7" w:rsidP="00BC1D43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1D43">
        <w:rPr>
          <w:rFonts w:ascii="Times New Roman" w:hAnsi="Times New Roman" w:cs="Times New Roman"/>
          <w:sz w:val="24"/>
          <w:szCs w:val="24"/>
          <w:lang w:val="en-US"/>
        </w:rPr>
        <w:br w:type="page"/>
      </w:r>
      <w:r w:rsidRPr="00BC1D43">
        <w:rPr>
          <w:rFonts w:ascii="Times New Roman" w:hAnsi="Times New Roman" w:cs="Times New Roman"/>
          <w:b/>
          <w:bCs/>
          <w:sz w:val="24"/>
          <w:szCs w:val="24"/>
        </w:rPr>
        <w:lastRenderedPageBreak/>
        <w:t>INTRODUÇÃO</w:t>
      </w:r>
    </w:p>
    <w:p w:rsidR="006022E7" w:rsidRPr="00BC1D43" w:rsidRDefault="006022E7" w:rsidP="00BC1D43">
      <w:pPr>
        <w:spacing w:line="48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C1D43">
        <w:rPr>
          <w:rFonts w:ascii="Times New Roman" w:hAnsi="Times New Roman" w:cs="Times New Roman"/>
          <w:sz w:val="24"/>
          <w:szCs w:val="24"/>
        </w:rPr>
        <w:t>Atualmente o destino da produção de mudas de espécies florestais nativas atende principalmente aos processos de restauração ambiental, embora haja, mesmo que de forma incipiente, a produção com fins madeireiros ou para sistemas agroflore</w:t>
      </w:r>
      <w:r w:rsidR="00B60B42">
        <w:rPr>
          <w:rFonts w:ascii="Times New Roman" w:hAnsi="Times New Roman" w:cs="Times New Roman"/>
          <w:sz w:val="24"/>
          <w:szCs w:val="24"/>
        </w:rPr>
        <w:t xml:space="preserve">stais (SCREMIN-DIAS </w:t>
      </w:r>
      <w:proofErr w:type="gramStart"/>
      <w:r w:rsidR="00B60B42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="00B60B42">
        <w:rPr>
          <w:rFonts w:ascii="Times New Roman" w:hAnsi="Times New Roman" w:cs="Times New Roman"/>
          <w:sz w:val="24"/>
          <w:szCs w:val="24"/>
        </w:rPr>
        <w:t xml:space="preserve"> al., 2006</w:t>
      </w:r>
      <w:r w:rsidRPr="00BC1D43">
        <w:rPr>
          <w:rFonts w:ascii="Times New Roman" w:hAnsi="Times New Roman" w:cs="Times New Roman"/>
          <w:sz w:val="24"/>
          <w:szCs w:val="24"/>
        </w:rPr>
        <w:t>).</w:t>
      </w:r>
      <w:r w:rsidR="009016F0" w:rsidRPr="00BC1D43">
        <w:rPr>
          <w:rFonts w:ascii="Times New Roman" w:hAnsi="Times New Roman" w:cs="Times New Roman"/>
          <w:sz w:val="24"/>
          <w:szCs w:val="24"/>
        </w:rPr>
        <w:t xml:space="preserve"> </w:t>
      </w:r>
      <w:r w:rsidR="00394E66">
        <w:rPr>
          <w:rFonts w:ascii="Times New Roman" w:hAnsi="Times New Roman" w:cs="Times New Roman"/>
          <w:sz w:val="24"/>
          <w:szCs w:val="24"/>
        </w:rPr>
        <w:t>A</w:t>
      </w:r>
      <w:r w:rsidRPr="00BC1D43">
        <w:rPr>
          <w:rFonts w:ascii="Times New Roman" w:hAnsi="Times New Roman" w:cs="Times New Roman"/>
          <w:sz w:val="24"/>
          <w:szCs w:val="24"/>
        </w:rPr>
        <w:t xml:space="preserve"> qualidade das mudas </w:t>
      </w:r>
      <w:r w:rsidR="00394E66">
        <w:rPr>
          <w:rFonts w:ascii="Times New Roman" w:hAnsi="Times New Roman" w:cs="Times New Roman"/>
          <w:sz w:val="24"/>
          <w:szCs w:val="24"/>
        </w:rPr>
        <w:t xml:space="preserve">afeta diretamente </w:t>
      </w:r>
      <w:r w:rsidRPr="00BC1D43">
        <w:rPr>
          <w:rFonts w:ascii="Times New Roman" w:hAnsi="Times New Roman" w:cs="Times New Roman"/>
          <w:sz w:val="24"/>
          <w:szCs w:val="24"/>
        </w:rPr>
        <w:t>o crescimento das árvores e, por</w:t>
      </w:r>
      <w:r w:rsidR="00394E66">
        <w:rPr>
          <w:rFonts w:ascii="Times New Roman" w:hAnsi="Times New Roman" w:cs="Times New Roman"/>
          <w:sz w:val="24"/>
          <w:szCs w:val="24"/>
        </w:rPr>
        <w:t xml:space="preserve"> consequência</w:t>
      </w:r>
      <w:r w:rsidRPr="00BC1D43">
        <w:rPr>
          <w:rFonts w:ascii="Times New Roman" w:hAnsi="Times New Roman" w:cs="Times New Roman"/>
          <w:sz w:val="24"/>
          <w:szCs w:val="24"/>
        </w:rPr>
        <w:t xml:space="preserve">, </w:t>
      </w:r>
      <w:r w:rsidR="009016F0" w:rsidRPr="00BC1D43">
        <w:rPr>
          <w:rFonts w:ascii="Times New Roman" w:hAnsi="Times New Roman" w:cs="Times New Roman"/>
          <w:sz w:val="24"/>
          <w:szCs w:val="24"/>
        </w:rPr>
        <w:t>a produtividade da floresta.</w:t>
      </w:r>
    </w:p>
    <w:p w:rsidR="006022E7" w:rsidRPr="00BC1D43" w:rsidRDefault="00394E66" w:rsidP="00394E66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São diversos os fatores de produção que afetam a qualidade de mudas florestais em viveiro. Dentre eles, </w:t>
      </w:r>
      <w:r w:rsidR="006022E7" w:rsidRPr="00BC1D43">
        <w:rPr>
          <w:rFonts w:ascii="Times New Roman" w:hAnsi="Times New Roman" w:cs="Times New Roman"/>
          <w:sz w:val="24"/>
          <w:szCs w:val="24"/>
        </w:rPr>
        <w:t>o tamanho do recipiente a ser utilizado</w:t>
      </w:r>
      <w:r>
        <w:rPr>
          <w:rFonts w:ascii="Times New Roman" w:hAnsi="Times New Roman" w:cs="Times New Roman"/>
          <w:sz w:val="24"/>
          <w:szCs w:val="24"/>
        </w:rPr>
        <w:t xml:space="preserve"> é de grande importância</w:t>
      </w:r>
      <w:r w:rsidR="006022E7" w:rsidRPr="00BC1D43">
        <w:rPr>
          <w:rFonts w:ascii="Times New Roman" w:hAnsi="Times New Roman" w:cs="Times New Roman"/>
          <w:sz w:val="24"/>
          <w:szCs w:val="24"/>
        </w:rPr>
        <w:t>, pois</w:t>
      </w:r>
      <w:r w:rsidR="006909A9">
        <w:rPr>
          <w:rFonts w:ascii="Times New Roman" w:hAnsi="Times New Roman" w:cs="Times New Roman"/>
          <w:sz w:val="24"/>
          <w:szCs w:val="24"/>
        </w:rPr>
        <w:t>, s</w:t>
      </w:r>
      <w:r>
        <w:rPr>
          <w:rFonts w:ascii="Times New Roman" w:hAnsi="Times New Roman" w:cs="Times New Roman"/>
          <w:sz w:val="24"/>
          <w:szCs w:val="24"/>
        </w:rPr>
        <w:t xml:space="preserve">egundo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BC1D43">
        <w:rPr>
          <w:rFonts w:ascii="Times New Roman" w:hAnsi="Times New Roman" w:cs="Times New Roman"/>
          <w:sz w:val="24"/>
          <w:szCs w:val="24"/>
        </w:rPr>
        <w:t>rachtvogel</w:t>
      </w:r>
      <w:proofErr w:type="spellEnd"/>
      <w:r w:rsidRPr="00BC1D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1D43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BC1D43">
        <w:rPr>
          <w:rFonts w:ascii="Times New Roman" w:hAnsi="Times New Roman" w:cs="Times New Roman"/>
          <w:sz w:val="24"/>
          <w:szCs w:val="24"/>
        </w:rPr>
        <w:t xml:space="preserve"> al.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C1D43">
        <w:rPr>
          <w:rFonts w:ascii="Times New Roman" w:hAnsi="Times New Roman" w:cs="Times New Roman"/>
          <w:sz w:val="24"/>
          <w:szCs w:val="24"/>
        </w:rPr>
        <w:t>2006)</w:t>
      </w:r>
      <w:r>
        <w:rPr>
          <w:rFonts w:ascii="Times New Roman" w:hAnsi="Times New Roman" w:cs="Times New Roman"/>
          <w:sz w:val="24"/>
          <w:szCs w:val="24"/>
        </w:rPr>
        <w:t>,</w:t>
      </w:r>
      <w:r w:rsidR="006022E7" w:rsidRPr="00BC1D43">
        <w:rPr>
          <w:rFonts w:ascii="Times New Roman" w:hAnsi="Times New Roman" w:cs="Times New Roman"/>
          <w:sz w:val="24"/>
          <w:szCs w:val="24"/>
        </w:rPr>
        <w:t xml:space="preserve"> este influencia diretamente o desenvolvimento e a arquitetura dos tecidos radiculares e aéreos do vegetal</w:t>
      </w:r>
      <w:r w:rsidR="006D527C" w:rsidRPr="00BC1D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22E7" w:rsidRPr="00BC1D43">
        <w:rPr>
          <w:rFonts w:ascii="Times New Roman" w:hAnsi="Times New Roman" w:cs="Times New Roman"/>
          <w:sz w:val="24"/>
          <w:szCs w:val="24"/>
        </w:rPr>
        <w:t>Para Castro (2007), a utilização dos tubetes oferece vantagens como facilidade das operações de produção de mudas, permitindo a mecanização; ocupação de menor área do viveiro; redução dos custos de transporte das mudas para o campo e direcionamento do sistema radicular devido à presença de estrias internas, o que possibi</w:t>
      </w:r>
      <w:r w:rsidR="006D527C" w:rsidRPr="00BC1D43">
        <w:rPr>
          <w:rFonts w:ascii="Times New Roman" w:hAnsi="Times New Roman" w:cs="Times New Roman"/>
          <w:sz w:val="24"/>
          <w:szCs w:val="24"/>
        </w:rPr>
        <w:t>lita uma boa formação do mesmo. A</w:t>
      </w:r>
      <w:r w:rsidR="006022E7" w:rsidRPr="00BC1D43">
        <w:rPr>
          <w:rFonts w:ascii="Times New Roman" w:hAnsi="Times New Roman" w:cs="Times New Roman"/>
          <w:sz w:val="24"/>
          <w:szCs w:val="24"/>
        </w:rPr>
        <w:t>lém disso, deve-se considerar que, por ser reutilizável em vários ciclos de produção, este recipiente tem sido amplamente empregado para uma grande quantidade de espécies florestais nos viveiros.</w:t>
      </w:r>
    </w:p>
    <w:p w:rsidR="006022E7" w:rsidRPr="00BC1D43" w:rsidRDefault="006022E7" w:rsidP="00B57CF9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1D43">
        <w:rPr>
          <w:rFonts w:ascii="Times New Roman" w:hAnsi="Times New Roman" w:cs="Times New Roman"/>
          <w:sz w:val="24"/>
          <w:szCs w:val="24"/>
        </w:rPr>
        <w:t xml:space="preserve">Outro fator </w:t>
      </w:r>
      <w:r w:rsidR="00394E66">
        <w:rPr>
          <w:rFonts w:ascii="Times New Roman" w:hAnsi="Times New Roman" w:cs="Times New Roman"/>
          <w:sz w:val="24"/>
          <w:szCs w:val="24"/>
        </w:rPr>
        <w:t xml:space="preserve">de produção </w:t>
      </w:r>
      <w:r w:rsidR="00C420D6">
        <w:rPr>
          <w:rFonts w:ascii="Times New Roman" w:hAnsi="Times New Roman" w:cs="Times New Roman"/>
          <w:sz w:val="24"/>
          <w:szCs w:val="24"/>
        </w:rPr>
        <w:t>relevante</w:t>
      </w:r>
      <w:r w:rsidRPr="00BC1D43">
        <w:rPr>
          <w:rFonts w:ascii="Times New Roman" w:hAnsi="Times New Roman" w:cs="Times New Roman"/>
          <w:sz w:val="24"/>
          <w:szCs w:val="24"/>
        </w:rPr>
        <w:t xml:space="preserve"> é a adubação</w:t>
      </w:r>
      <w:r w:rsidR="00C420D6">
        <w:rPr>
          <w:rFonts w:ascii="Times New Roman" w:hAnsi="Times New Roman" w:cs="Times New Roman"/>
          <w:sz w:val="24"/>
          <w:szCs w:val="24"/>
        </w:rPr>
        <w:t xml:space="preserve"> durante o crescimento inicial das mudas</w:t>
      </w:r>
      <w:r w:rsidRPr="00BC1D43">
        <w:rPr>
          <w:rFonts w:ascii="Times New Roman" w:hAnsi="Times New Roman" w:cs="Times New Roman"/>
          <w:sz w:val="24"/>
          <w:szCs w:val="24"/>
        </w:rPr>
        <w:t xml:space="preserve">. De acordo com Saraiva </w:t>
      </w:r>
      <w:proofErr w:type="gramStart"/>
      <w:r w:rsidRPr="00BC1D43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BC1D43">
        <w:rPr>
          <w:rFonts w:ascii="Times New Roman" w:hAnsi="Times New Roman" w:cs="Times New Roman"/>
          <w:sz w:val="24"/>
          <w:szCs w:val="24"/>
        </w:rPr>
        <w:t xml:space="preserve"> al. (2011), este é um fator de extrema importância na produção de mudas uma vez que uma adubação adequada refletirá no estado nutricional da planta.</w:t>
      </w:r>
      <w:r w:rsidR="00B57CF9">
        <w:rPr>
          <w:rFonts w:ascii="Times New Roman" w:hAnsi="Times New Roman" w:cs="Times New Roman"/>
          <w:sz w:val="24"/>
          <w:szCs w:val="24"/>
        </w:rPr>
        <w:t xml:space="preserve"> </w:t>
      </w:r>
      <w:r w:rsidRPr="00BC1D43">
        <w:rPr>
          <w:rFonts w:ascii="Times New Roman" w:hAnsi="Times New Roman" w:cs="Times New Roman"/>
          <w:sz w:val="24"/>
          <w:szCs w:val="24"/>
        </w:rPr>
        <w:t>Geralmente, nos viveiros florestais, são utilizados fertilizantes solúveis em água, compostos basicamente por</w:t>
      </w:r>
      <w:r w:rsidR="00005CDE">
        <w:rPr>
          <w:rFonts w:ascii="Times New Roman" w:hAnsi="Times New Roman" w:cs="Times New Roman"/>
          <w:sz w:val="24"/>
          <w:szCs w:val="24"/>
        </w:rPr>
        <w:t xml:space="preserve"> nitrogênio, fósforo e potássio, sendo o fósforo</w:t>
      </w:r>
      <w:r w:rsidRPr="00BC1D43">
        <w:rPr>
          <w:rFonts w:ascii="Times New Roman" w:hAnsi="Times New Roman" w:cs="Times New Roman"/>
          <w:sz w:val="24"/>
          <w:szCs w:val="24"/>
        </w:rPr>
        <w:t xml:space="preserve"> um dos </w:t>
      </w:r>
      <w:proofErr w:type="spellStart"/>
      <w:r w:rsidRPr="00BC1D43">
        <w:rPr>
          <w:rFonts w:ascii="Times New Roman" w:hAnsi="Times New Roman" w:cs="Times New Roman"/>
          <w:sz w:val="24"/>
          <w:szCs w:val="24"/>
        </w:rPr>
        <w:t>macronutrientes</w:t>
      </w:r>
      <w:proofErr w:type="spellEnd"/>
      <w:r w:rsidRPr="00BC1D43">
        <w:rPr>
          <w:rFonts w:ascii="Times New Roman" w:hAnsi="Times New Roman" w:cs="Times New Roman"/>
          <w:sz w:val="24"/>
          <w:szCs w:val="24"/>
        </w:rPr>
        <w:t xml:space="preserve"> menos absorvido pelas plantas</w:t>
      </w:r>
      <w:r w:rsidR="00005CDE">
        <w:rPr>
          <w:rFonts w:ascii="Times New Roman" w:hAnsi="Times New Roman" w:cs="Times New Roman"/>
          <w:sz w:val="24"/>
          <w:szCs w:val="24"/>
        </w:rPr>
        <w:t xml:space="preserve"> (DIAS </w:t>
      </w:r>
      <w:proofErr w:type="gramStart"/>
      <w:r w:rsidR="00005CDE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="00005CDE">
        <w:rPr>
          <w:rFonts w:ascii="Times New Roman" w:hAnsi="Times New Roman" w:cs="Times New Roman"/>
          <w:sz w:val="24"/>
          <w:szCs w:val="24"/>
        </w:rPr>
        <w:t xml:space="preserve"> al., 2015)</w:t>
      </w:r>
      <w:r w:rsidRPr="00BC1D43">
        <w:rPr>
          <w:rFonts w:ascii="Times New Roman" w:hAnsi="Times New Roman" w:cs="Times New Roman"/>
          <w:sz w:val="24"/>
          <w:szCs w:val="24"/>
        </w:rPr>
        <w:t>.</w:t>
      </w:r>
    </w:p>
    <w:p w:rsidR="006022E7" w:rsidRPr="00BC1D43" w:rsidRDefault="006022E7" w:rsidP="00BC1D43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1D43">
        <w:rPr>
          <w:rFonts w:ascii="Times New Roman" w:hAnsi="Times New Roman" w:cs="Times New Roman"/>
          <w:sz w:val="24"/>
          <w:szCs w:val="24"/>
        </w:rPr>
        <w:t xml:space="preserve">Embora a altura de parte aérea e diâmetro do coleto sejam amplamente utilizados para a determinação da qualidade de mudas, outro parâmetro vem sido bastante empregado, o </w:t>
      </w:r>
      <w:r w:rsidRPr="00BC1D43">
        <w:rPr>
          <w:rFonts w:ascii="Times New Roman" w:hAnsi="Times New Roman" w:cs="Times New Roman"/>
          <w:sz w:val="24"/>
          <w:szCs w:val="24"/>
        </w:rPr>
        <w:lastRenderedPageBreak/>
        <w:t xml:space="preserve">Índice de Qualidade de Dickson (IQD). </w:t>
      </w:r>
      <w:r w:rsidR="004D3013" w:rsidRPr="00BC1D43">
        <w:rPr>
          <w:rFonts w:ascii="Times New Roman" w:hAnsi="Times New Roman" w:cs="Times New Roman"/>
          <w:sz w:val="24"/>
          <w:szCs w:val="24"/>
        </w:rPr>
        <w:t>O</w:t>
      </w:r>
      <w:r w:rsidRPr="00BC1D43">
        <w:rPr>
          <w:rFonts w:ascii="Times New Roman" w:hAnsi="Times New Roman" w:cs="Times New Roman"/>
          <w:sz w:val="24"/>
          <w:szCs w:val="24"/>
        </w:rPr>
        <w:t xml:space="preserve"> IQD </w:t>
      </w:r>
      <w:r w:rsidR="004D3013" w:rsidRPr="00BC1D43">
        <w:rPr>
          <w:rFonts w:ascii="Times New Roman" w:hAnsi="Times New Roman" w:cs="Times New Roman"/>
          <w:sz w:val="24"/>
          <w:szCs w:val="24"/>
        </w:rPr>
        <w:t xml:space="preserve">é apontado </w:t>
      </w:r>
      <w:r w:rsidRPr="00BC1D43">
        <w:rPr>
          <w:rFonts w:ascii="Times New Roman" w:hAnsi="Times New Roman" w:cs="Times New Roman"/>
          <w:sz w:val="24"/>
          <w:szCs w:val="24"/>
        </w:rPr>
        <w:t>como sendo um ótimo parâmetro para a</w:t>
      </w:r>
      <w:r w:rsidR="004D3013" w:rsidRPr="00BC1D43">
        <w:rPr>
          <w:rFonts w:ascii="Times New Roman" w:hAnsi="Times New Roman" w:cs="Times New Roman"/>
          <w:sz w:val="24"/>
          <w:szCs w:val="24"/>
        </w:rPr>
        <w:t xml:space="preserve"> avaliação da qualidade de muda e </w:t>
      </w:r>
      <w:r w:rsidRPr="00BC1D43">
        <w:rPr>
          <w:rFonts w:ascii="Times New Roman" w:hAnsi="Times New Roman" w:cs="Times New Roman"/>
          <w:sz w:val="24"/>
          <w:szCs w:val="24"/>
        </w:rPr>
        <w:t>quanto maior o seu valor melhor é a qualidade da muda. Para Fonseca (2000), este índice é considerado um excelente parâmetro devido ao fato de que o cálculo do IQD considera a robustez e o equilíbrio da distribuição da biomassa da muda, uma vez que são ponderados vários parâmetros considerados importantes.</w:t>
      </w:r>
    </w:p>
    <w:p w:rsidR="006022E7" w:rsidRPr="00BC1D43" w:rsidRDefault="006022E7" w:rsidP="00BC1D43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1D43">
        <w:rPr>
          <w:rFonts w:ascii="Times New Roman" w:hAnsi="Times New Roman" w:cs="Times New Roman"/>
          <w:sz w:val="24"/>
          <w:szCs w:val="24"/>
        </w:rPr>
        <w:t xml:space="preserve">Segundo Estender </w:t>
      </w:r>
      <w:proofErr w:type="gramStart"/>
      <w:r w:rsidRPr="00BC1D43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BC1D43">
        <w:rPr>
          <w:rFonts w:ascii="Times New Roman" w:hAnsi="Times New Roman" w:cs="Times New Roman"/>
          <w:sz w:val="24"/>
          <w:szCs w:val="24"/>
        </w:rPr>
        <w:t xml:space="preserve"> al. (2012), muitos projetos de reflorestamentos heterogêneos com espécies nativas vêm fracassando devido ao pouco conhecimento de técnicas, principalmente sobre a biologia e a </w:t>
      </w:r>
      <w:proofErr w:type="spellStart"/>
      <w:r w:rsidRPr="00BC1D43">
        <w:rPr>
          <w:rFonts w:ascii="Times New Roman" w:hAnsi="Times New Roman" w:cs="Times New Roman"/>
          <w:sz w:val="24"/>
          <w:szCs w:val="24"/>
        </w:rPr>
        <w:t>ecofisiologia</w:t>
      </w:r>
      <w:proofErr w:type="spellEnd"/>
      <w:r w:rsidRPr="00BC1D43">
        <w:rPr>
          <w:rFonts w:ascii="Times New Roman" w:hAnsi="Times New Roman" w:cs="Times New Roman"/>
          <w:sz w:val="24"/>
          <w:szCs w:val="24"/>
        </w:rPr>
        <w:t xml:space="preserve"> das espécies utilizadas, acrescentando-se ainda a estes fatores, a falta de critérios técnicos fundamentados em pesquisa e o pouco conhecimento da dinâmica das florestas. A partir do exposto, este trabalho foi realizado com o objetivo de avaliar a qualidade de mudas de quatro espécies florestais nativas em viveiro, produzidas </w:t>
      </w:r>
      <w:r w:rsidR="007225A7" w:rsidRPr="00BC1D43">
        <w:rPr>
          <w:rFonts w:ascii="Times New Roman" w:hAnsi="Times New Roman" w:cs="Times New Roman"/>
          <w:sz w:val="24"/>
          <w:szCs w:val="24"/>
        </w:rPr>
        <w:t xml:space="preserve">utilizando diferentes dosagens </w:t>
      </w:r>
      <w:r w:rsidR="00D43E6F" w:rsidRPr="00BC1D43">
        <w:rPr>
          <w:rFonts w:ascii="Times New Roman" w:hAnsi="Times New Roman" w:cs="Times New Roman"/>
          <w:sz w:val="24"/>
          <w:szCs w:val="24"/>
        </w:rPr>
        <w:t>de fertilizante fosfatado visando</w:t>
      </w:r>
      <w:r w:rsidR="007225A7" w:rsidRPr="00BC1D43">
        <w:rPr>
          <w:rFonts w:ascii="Times New Roman" w:hAnsi="Times New Roman" w:cs="Times New Roman"/>
          <w:sz w:val="24"/>
          <w:szCs w:val="24"/>
        </w:rPr>
        <w:t xml:space="preserve"> encontrar qual o recipiente que maximiza o </w:t>
      </w:r>
      <w:r w:rsidR="006909A9" w:rsidRPr="00BC1D43">
        <w:rPr>
          <w:rFonts w:ascii="Times New Roman" w:hAnsi="Times New Roman" w:cs="Times New Roman"/>
          <w:sz w:val="24"/>
          <w:szCs w:val="24"/>
        </w:rPr>
        <w:t xml:space="preserve">Índice de Qualidade de </w:t>
      </w:r>
      <w:proofErr w:type="spellStart"/>
      <w:r w:rsidR="006909A9" w:rsidRPr="00BC1D43">
        <w:rPr>
          <w:rFonts w:ascii="Times New Roman" w:hAnsi="Times New Roman" w:cs="Times New Roman"/>
          <w:sz w:val="24"/>
          <w:szCs w:val="24"/>
        </w:rPr>
        <w:t>Dickson</w:t>
      </w:r>
      <w:proofErr w:type="spellEnd"/>
      <w:r w:rsidRPr="00BC1D43">
        <w:rPr>
          <w:rFonts w:ascii="Times New Roman" w:hAnsi="Times New Roman" w:cs="Times New Roman"/>
          <w:sz w:val="24"/>
          <w:szCs w:val="24"/>
        </w:rPr>
        <w:t>.</w:t>
      </w:r>
    </w:p>
    <w:p w:rsidR="006022E7" w:rsidRPr="00BC1D43" w:rsidRDefault="006022E7" w:rsidP="00BC1D43">
      <w:pPr>
        <w:spacing w:before="60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1D43">
        <w:rPr>
          <w:rFonts w:ascii="Times New Roman" w:hAnsi="Times New Roman" w:cs="Times New Roman"/>
          <w:b/>
          <w:bCs/>
          <w:sz w:val="24"/>
          <w:szCs w:val="24"/>
        </w:rPr>
        <w:t>MATERIAL E MÉTODOS</w:t>
      </w:r>
    </w:p>
    <w:p w:rsidR="006022E7" w:rsidRPr="00BC1D43" w:rsidRDefault="006022E7" w:rsidP="00BC1D43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1D43">
        <w:rPr>
          <w:rFonts w:ascii="Times New Roman" w:hAnsi="Times New Roman" w:cs="Times New Roman"/>
          <w:sz w:val="24"/>
          <w:szCs w:val="24"/>
        </w:rPr>
        <w:t>O experimento foi realizado no Laboratório de Sementes e no Viveiro Florestal do Departamento de Ciências Florestais da Universidade</w:t>
      </w:r>
      <w:r w:rsidR="00A00468">
        <w:rPr>
          <w:rFonts w:ascii="Times New Roman" w:hAnsi="Times New Roman" w:cs="Times New Roman"/>
          <w:sz w:val="24"/>
          <w:szCs w:val="24"/>
        </w:rPr>
        <w:t xml:space="preserve"> Federal de Sergipe, localizada</w:t>
      </w:r>
      <w:r w:rsidRPr="00BC1D43">
        <w:rPr>
          <w:rFonts w:ascii="Times New Roman" w:hAnsi="Times New Roman" w:cs="Times New Roman"/>
          <w:sz w:val="24"/>
          <w:szCs w:val="24"/>
        </w:rPr>
        <w:t xml:space="preserve"> no município de São Cristóvão, Serg</w:t>
      </w:r>
      <w:r w:rsidR="00A00468">
        <w:rPr>
          <w:rFonts w:ascii="Times New Roman" w:hAnsi="Times New Roman" w:cs="Times New Roman"/>
          <w:sz w:val="24"/>
          <w:szCs w:val="24"/>
        </w:rPr>
        <w:t>ipe. O município localiza-se</w:t>
      </w:r>
      <w:r w:rsidRPr="00BC1D43">
        <w:rPr>
          <w:rFonts w:ascii="Times New Roman" w:hAnsi="Times New Roman" w:cs="Times New Roman"/>
          <w:sz w:val="24"/>
          <w:szCs w:val="24"/>
        </w:rPr>
        <w:t xml:space="preserve"> na região leste do estado de Sergipe, entre a latitude 11°00’54”S e longitude 37°12’21”W.</w:t>
      </w:r>
    </w:p>
    <w:p w:rsidR="006022E7" w:rsidRPr="00BC1D43" w:rsidRDefault="006022E7" w:rsidP="00BC1D43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1D43">
        <w:rPr>
          <w:rFonts w:ascii="Times New Roman" w:hAnsi="Times New Roman" w:cs="Times New Roman"/>
          <w:sz w:val="24"/>
          <w:szCs w:val="24"/>
        </w:rPr>
        <w:t xml:space="preserve">Foram utilizadas sementes de </w:t>
      </w:r>
      <w:proofErr w:type="spellStart"/>
      <w:r w:rsidRPr="00BC1D43">
        <w:rPr>
          <w:rFonts w:ascii="Times New Roman" w:hAnsi="Times New Roman" w:cs="Times New Roman"/>
          <w:i/>
          <w:iCs/>
          <w:sz w:val="24"/>
          <w:szCs w:val="24"/>
        </w:rPr>
        <w:t>Sapindus</w:t>
      </w:r>
      <w:proofErr w:type="spellEnd"/>
      <w:r w:rsidRPr="00BC1D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1D43">
        <w:rPr>
          <w:rFonts w:ascii="Times New Roman" w:hAnsi="Times New Roman" w:cs="Times New Roman"/>
          <w:i/>
          <w:iCs/>
          <w:sz w:val="24"/>
          <w:szCs w:val="24"/>
        </w:rPr>
        <w:t>saponaria</w:t>
      </w:r>
      <w:proofErr w:type="spellEnd"/>
      <w:r w:rsidRPr="00BC1D43">
        <w:rPr>
          <w:rFonts w:ascii="Times New Roman" w:hAnsi="Times New Roman" w:cs="Times New Roman"/>
          <w:sz w:val="24"/>
          <w:szCs w:val="24"/>
        </w:rPr>
        <w:t xml:space="preserve"> L. (Saboneteira), </w:t>
      </w:r>
      <w:r w:rsidRPr="00BC1D43">
        <w:rPr>
          <w:rFonts w:ascii="Times New Roman" w:hAnsi="Times New Roman" w:cs="Times New Roman"/>
          <w:i/>
          <w:iCs/>
          <w:sz w:val="24"/>
          <w:szCs w:val="24"/>
        </w:rPr>
        <w:t xml:space="preserve">Ceiba </w:t>
      </w:r>
      <w:proofErr w:type="spellStart"/>
      <w:r w:rsidRPr="00BC1D43">
        <w:rPr>
          <w:rFonts w:ascii="Times New Roman" w:hAnsi="Times New Roman" w:cs="Times New Roman"/>
          <w:i/>
          <w:iCs/>
          <w:sz w:val="24"/>
          <w:szCs w:val="24"/>
        </w:rPr>
        <w:t>speciosa</w:t>
      </w:r>
      <w:proofErr w:type="spellEnd"/>
      <w:r w:rsidRPr="00BC1D43">
        <w:rPr>
          <w:rFonts w:ascii="Times New Roman" w:hAnsi="Times New Roman" w:cs="Times New Roman"/>
          <w:sz w:val="24"/>
          <w:szCs w:val="24"/>
        </w:rPr>
        <w:t xml:space="preserve"> (A. </w:t>
      </w:r>
      <w:proofErr w:type="gramStart"/>
      <w:r w:rsidRPr="00BC1D43">
        <w:rPr>
          <w:rFonts w:ascii="Times New Roman" w:hAnsi="Times New Roman" w:cs="Times New Roman"/>
          <w:sz w:val="24"/>
          <w:szCs w:val="24"/>
        </w:rPr>
        <w:t>St.</w:t>
      </w:r>
      <w:proofErr w:type="gramEnd"/>
      <w:r w:rsidRPr="00BC1D43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BC1D43">
        <w:rPr>
          <w:rFonts w:ascii="Times New Roman" w:hAnsi="Times New Roman" w:cs="Times New Roman"/>
          <w:sz w:val="24"/>
          <w:szCs w:val="24"/>
        </w:rPr>
        <w:t>Hil</w:t>
      </w:r>
      <w:proofErr w:type="spellEnd"/>
      <w:r w:rsidRPr="00BC1D43">
        <w:rPr>
          <w:rFonts w:ascii="Times New Roman" w:hAnsi="Times New Roman" w:cs="Times New Roman"/>
          <w:sz w:val="24"/>
          <w:szCs w:val="24"/>
        </w:rPr>
        <w:t xml:space="preserve">.) Ravenna (Paineira), </w:t>
      </w:r>
      <w:proofErr w:type="spellStart"/>
      <w:r w:rsidRPr="00BC1D43">
        <w:rPr>
          <w:rFonts w:ascii="Times New Roman" w:hAnsi="Times New Roman" w:cs="Times New Roman"/>
          <w:i/>
          <w:iCs/>
          <w:sz w:val="24"/>
          <w:szCs w:val="24"/>
        </w:rPr>
        <w:t>Guazuma</w:t>
      </w:r>
      <w:proofErr w:type="spellEnd"/>
      <w:r w:rsidRPr="00BC1D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1D43">
        <w:rPr>
          <w:rFonts w:ascii="Times New Roman" w:hAnsi="Times New Roman" w:cs="Times New Roman"/>
          <w:i/>
          <w:iCs/>
          <w:sz w:val="24"/>
          <w:szCs w:val="24"/>
        </w:rPr>
        <w:t>ulmifolia</w:t>
      </w:r>
      <w:proofErr w:type="spellEnd"/>
      <w:r w:rsidRPr="00BC1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D43">
        <w:rPr>
          <w:rFonts w:ascii="Times New Roman" w:hAnsi="Times New Roman" w:cs="Times New Roman"/>
          <w:sz w:val="24"/>
          <w:szCs w:val="24"/>
        </w:rPr>
        <w:t>Lam</w:t>
      </w:r>
      <w:proofErr w:type="spellEnd"/>
      <w:r w:rsidRPr="00BC1D43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BC1D43">
        <w:rPr>
          <w:rFonts w:ascii="Times New Roman" w:hAnsi="Times New Roman" w:cs="Times New Roman"/>
          <w:sz w:val="24"/>
          <w:szCs w:val="24"/>
        </w:rPr>
        <w:t>Mutamba</w:t>
      </w:r>
      <w:proofErr w:type="spellEnd"/>
      <w:r w:rsidRPr="00BC1D43">
        <w:rPr>
          <w:rFonts w:ascii="Times New Roman" w:hAnsi="Times New Roman" w:cs="Times New Roman"/>
          <w:sz w:val="24"/>
          <w:szCs w:val="24"/>
        </w:rPr>
        <w:t xml:space="preserve">) e </w:t>
      </w:r>
      <w:proofErr w:type="spellStart"/>
      <w:r w:rsidRPr="00BC1D43">
        <w:rPr>
          <w:rFonts w:ascii="Times New Roman" w:hAnsi="Times New Roman" w:cs="Times New Roman"/>
          <w:i/>
          <w:iCs/>
          <w:sz w:val="24"/>
          <w:szCs w:val="24"/>
        </w:rPr>
        <w:t>Schinus</w:t>
      </w:r>
      <w:proofErr w:type="spellEnd"/>
      <w:r w:rsidRPr="00BC1D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1D43">
        <w:rPr>
          <w:rFonts w:ascii="Times New Roman" w:hAnsi="Times New Roman" w:cs="Times New Roman"/>
          <w:i/>
          <w:iCs/>
          <w:sz w:val="24"/>
          <w:szCs w:val="24"/>
        </w:rPr>
        <w:t>terebinthifolius</w:t>
      </w:r>
      <w:proofErr w:type="spellEnd"/>
      <w:r w:rsidRPr="00BC1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D43">
        <w:rPr>
          <w:rFonts w:ascii="Times New Roman" w:hAnsi="Times New Roman" w:cs="Times New Roman"/>
          <w:sz w:val="24"/>
          <w:szCs w:val="24"/>
        </w:rPr>
        <w:t>Raddi</w:t>
      </w:r>
      <w:proofErr w:type="spellEnd"/>
      <w:r w:rsidRPr="00BC1D43">
        <w:rPr>
          <w:rFonts w:ascii="Times New Roman" w:hAnsi="Times New Roman" w:cs="Times New Roman"/>
          <w:sz w:val="24"/>
          <w:szCs w:val="24"/>
        </w:rPr>
        <w:t xml:space="preserve">. (Aroeira), com procedência de Itaporanga D'Ajuda - SE (janeiro de 2012), Aracaju - SE (novembro de 2011 e fevereiro de 2012), e Brejo Grande (maio de 2010), respectivamente. Para a quebra de dormência das sementes de saboneteira e mutamba, estas </w:t>
      </w:r>
      <w:r w:rsidRPr="00BC1D43">
        <w:rPr>
          <w:rFonts w:ascii="Times New Roman" w:hAnsi="Times New Roman" w:cs="Times New Roman"/>
          <w:sz w:val="24"/>
          <w:szCs w:val="24"/>
        </w:rPr>
        <w:lastRenderedPageBreak/>
        <w:t xml:space="preserve">foram reservadas em um </w:t>
      </w:r>
      <w:proofErr w:type="spellStart"/>
      <w:proofErr w:type="gramStart"/>
      <w:r w:rsidRPr="00BC1D43">
        <w:rPr>
          <w:rFonts w:ascii="Times New Roman" w:hAnsi="Times New Roman" w:cs="Times New Roman"/>
          <w:sz w:val="24"/>
          <w:szCs w:val="24"/>
        </w:rPr>
        <w:t>becker</w:t>
      </w:r>
      <w:proofErr w:type="spellEnd"/>
      <w:proofErr w:type="gramEnd"/>
      <w:r w:rsidRPr="00BC1D43">
        <w:rPr>
          <w:rFonts w:ascii="Times New Roman" w:hAnsi="Times New Roman" w:cs="Times New Roman"/>
          <w:sz w:val="24"/>
          <w:szCs w:val="24"/>
        </w:rPr>
        <w:t xml:space="preserve"> e imersas em ácido sulfúrico concentrado durante uma hora para saboneteira e quarenta minutos para mutamba. Em seguida, com auxílio de uma peneira, as sementes foram lavadas abundantemente com água destilada para a retirada total do ácido. As sementes de paineira e aroeira não foram submetidas à quebra de dormência, sendo, somente as sementes de aroeira, descascadas manualmente.</w:t>
      </w:r>
    </w:p>
    <w:p w:rsidR="006022E7" w:rsidRPr="00BC1D43" w:rsidRDefault="006022E7" w:rsidP="00BC1D43">
      <w:pPr>
        <w:spacing w:line="48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C1D43">
        <w:rPr>
          <w:rFonts w:ascii="Times New Roman" w:hAnsi="Times New Roman" w:cs="Times New Roman"/>
          <w:sz w:val="24"/>
          <w:szCs w:val="24"/>
        </w:rPr>
        <w:t xml:space="preserve">O substrato utilizado foi </w:t>
      </w:r>
      <w:r w:rsidR="0099290A" w:rsidRPr="00BC1D43">
        <w:rPr>
          <w:rFonts w:ascii="Times New Roman" w:hAnsi="Times New Roman" w:cs="Times New Roman"/>
          <w:sz w:val="24"/>
          <w:szCs w:val="24"/>
        </w:rPr>
        <w:t xml:space="preserve">composto por </w:t>
      </w:r>
      <w:r w:rsidRPr="00BC1D43">
        <w:rPr>
          <w:rFonts w:ascii="Times New Roman" w:hAnsi="Times New Roman" w:cs="Times New Roman"/>
          <w:sz w:val="24"/>
          <w:szCs w:val="24"/>
        </w:rPr>
        <w:t xml:space="preserve">substrato comercial </w:t>
      </w:r>
      <w:proofErr w:type="spellStart"/>
      <w:r w:rsidRPr="00BC1D43">
        <w:rPr>
          <w:rFonts w:ascii="Times New Roman" w:hAnsi="Times New Roman" w:cs="Times New Roman"/>
          <w:sz w:val="24"/>
          <w:szCs w:val="24"/>
        </w:rPr>
        <w:t>Multiplant</w:t>
      </w:r>
      <w:proofErr w:type="spellEnd"/>
      <w:r w:rsidRPr="00BC1D43">
        <w:rPr>
          <w:rFonts w:ascii="Times New Roman" w:hAnsi="Times New Roman" w:cs="Times New Roman"/>
          <w:sz w:val="24"/>
          <w:szCs w:val="24"/>
        </w:rPr>
        <w:t xml:space="preserve"> (70% casca de pinus, 25% </w:t>
      </w:r>
      <w:proofErr w:type="spellStart"/>
      <w:r w:rsidRPr="00BC1D43">
        <w:rPr>
          <w:rFonts w:ascii="Times New Roman" w:hAnsi="Times New Roman" w:cs="Times New Roman"/>
          <w:sz w:val="24"/>
          <w:szCs w:val="24"/>
        </w:rPr>
        <w:t>vermiculita</w:t>
      </w:r>
      <w:proofErr w:type="spellEnd"/>
      <w:r w:rsidRPr="00BC1D43">
        <w:rPr>
          <w:rFonts w:ascii="Times New Roman" w:hAnsi="Times New Roman" w:cs="Times New Roman"/>
          <w:sz w:val="24"/>
          <w:szCs w:val="24"/>
        </w:rPr>
        <w:t xml:space="preserve"> e 5% areia), terra preta e are</w:t>
      </w:r>
      <w:r w:rsidR="0099290A" w:rsidRPr="00BC1D43">
        <w:rPr>
          <w:rFonts w:ascii="Times New Roman" w:hAnsi="Times New Roman" w:cs="Times New Roman"/>
          <w:sz w:val="24"/>
          <w:szCs w:val="24"/>
        </w:rPr>
        <w:t xml:space="preserve">ia lavada </w:t>
      </w:r>
      <w:r w:rsidR="004D3013" w:rsidRPr="00BC1D43">
        <w:rPr>
          <w:rFonts w:ascii="Times New Roman" w:hAnsi="Times New Roman" w:cs="Times New Roman"/>
          <w:sz w:val="24"/>
          <w:szCs w:val="24"/>
        </w:rPr>
        <w:t xml:space="preserve">na proporção </w:t>
      </w:r>
      <w:proofErr w:type="gramStart"/>
      <w:r w:rsidR="0099290A" w:rsidRPr="00BC1D43">
        <w:rPr>
          <w:rFonts w:ascii="Times New Roman" w:hAnsi="Times New Roman" w:cs="Times New Roman"/>
          <w:sz w:val="24"/>
          <w:szCs w:val="24"/>
        </w:rPr>
        <w:t>3:1:</w:t>
      </w:r>
      <w:proofErr w:type="gramEnd"/>
      <w:r w:rsidR="0099290A" w:rsidRPr="00BC1D43">
        <w:rPr>
          <w:rFonts w:ascii="Times New Roman" w:hAnsi="Times New Roman" w:cs="Times New Roman"/>
          <w:sz w:val="24"/>
          <w:szCs w:val="24"/>
        </w:rPr>
        <w:t>1</w:t>
      </w:r>
      <w:r w:rsidRPr="00BC1D43">
        <w:rPr>
          <w:rFonts w:ascii="Times New Roman" w:hAnsi="Times New Roman" w:cs="Times New Roman"/>
          <w:sz w:val="24"/>
          <w:szCs w:val="24"/>
        </w:rPr>
        <w:t>. Em todos os tratamentos foram adicionados 500g de cloreto de potássio.</w:t>
      </w:r>
      <w:r w:rsidR="004C4FEA" w:rsidRPr="004C4FEA">
        <w:rPr>
          <w:rFonts w:ascii="Times New Roman" w:hAnsi="Times New Roman" w:cs="Times New Roman"/>
          <w:sz w:val="24"/>
          <w:szCs w:val="24"/>
        </w:rPr>
        <w:t xml:space="preserve"> </w:t>
      </w:r>
      <w:r w:rsidR="004C4FEA" w:rsidRPr="00BC1D43">
        <w:rPr>
          <w:rFonts w:ascii="Times New Roman" w:hAnsi="Times New Roman" w:cs="Times New Roman"/>
          <w:sz w:val="24"/>
          <w:szCs w:val="24"/>
        </w:rPr>
        <w:t>O fertilizante fosfatado usado foi o Superfosfato Simples, composto por 18% de fósforo. Foram produzidas simultaneamente mudas de aroeira dispostas ao redor dos tratamentos representando a bordadura do experimento.</w:t>
      </w:r>
    </w:p>
    <w:p w:rsidR="00B230FC" w:rsidRPr="00BC1D43" w:rsidRDefault="006022E7" w:rsidP="00BC1D43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1D43">
        <w:rPr>
          <w:rFonts w:ascii="Times New Roman" w:hAnsi="Times New Roman" w:cs="Times New Roman"/>
          <w:sz w:val="24"/>
          <w:szCs w:val="24"/>
        </w:rPr>
        <w:t xml:space="preserve">As mudas foram mantidas </w:t>
      </w:r>
      <w:proofErr w:type="gramStart"/>
      <w:r w:rsidRPr="00BC1D43">
        <w:rPr>
          <w:rFonts w:ascii="Times New Roman" w:hAnsi="Times New Roman" w:cs="Times New Roman"/>
          <w:sz w:val="24"/>
          <w:szCs w:val="24"/>
        </w:rPr>
        <w:t>sob telado</w:t>
      </w:r>
      <w:proofErr w:type="gramEnd"/>
      <w:r w:rsidRPr="00BC1D43">
        <w:rPr>
          <w:rFonts w:ascii="Times New Roman" w:hAnsi="Times New Roman" w:cs="Times New Roman"/>
          <w:sz w:val="24"/>
          <w:szCs w:val="24"/>
        </w:rPr>
        <w:t xml:space="preserve"> 50% até a ocorrência da emergência e depois transferidas para uma área em pleno sol para estimular sua </w:t>
      </w:r>
      <w:proofErr w:type="spellStart"/>
      <w:r w:rsidRPr="00BC1D43">
        <w:rPr>
          <w:rFonts w:ascii="Times New Roman" w:hAnsi="Times New Roman" w:cs="Times New Roman"/>
          <w:sz w:val="24"/>
          <w:szCs w:val="24"/>
        </w:rPr>
        <w:t>rustificação</w:t>
      </w:r>
      <w:proofErr w:type="spellEnd"/>
      <w:r w:rsidRPr="00BC1D43">
        <w:rPr>
          <w:rFonts w:ascii="Times New Roman" w:hAnsi="Times New Roman" w:cs="Times New Roman"/>
          <w:sz w:val="24"/>
          <w:szCs w:val="24"/>
        </w:rPr>
        <w:t xml:space="preserve">. </w:t>
      </w:r>
      <w:r w:rsidR="00B230FC" w:rsidRPr="00BC1D43">
        <w:rPr>
          <w:rFonts w:ascii="Times New Roman" w:hAnsi="Times New Roman" w:cs="Times New Roman"/>
          <w:sz w:val="24"/>
          <w:szCs w:val="24"/>
        </w:rPr>
        <w:t xml:space="preserve">As irrigações foram feitas duas vezes ao dia com regadores manuais. </w:t>
      </w:r>
      <w:r w:rsidRPr="00BC1D43">
        <w:rPr>
          <w:rFonts w:ascii="Times New Roman" w:hAnsi="Times New Roman" w:cs="Times New Roman"/>
          <w:sz w:val="24"/>
          <w:szCs w:val="24"/>
        </w:rPr>
        <w:t>Para todos os tratamentos foi realizada adubação de cobertura quinzenalmente 60 dias após a emergência, com 60g de cloreto de potássio e 25g de sulfato de amônio</w:t>
      </w:r>
      <w:r w:rsidR="00B230FC" w:rsidRPr="00BC1D43">
        <w:rPr>
          <w:rFonts w:ascii="Times New Roman" w:hAnsi="Times New Roman" w:cs="Times New Roman"/>
          <w:sz w:val="24"/>
          <w:szCs w:val="24"/>
        </w:rPr>
        <w:t xml:space="preserve"> diluídos em 10 litros de água.</w:t>
      </w:r>
    </w:p>
    <w:p w:rsidR="006022E7" w:rsidRPr="00BC1D43" w:rsidRDefault="006022E7" w:rsidP="00BC1D43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1D43">
        <w:rPr>
          <w:rFonts w:ascii="Times New Roman" w:hAnsi="Times New Roman" w:cs="Times New Roman"/>
          <w:sz w:val="24"/>
          <w:szCs w:val="24"/>
        </w:rPr>
        <w:t xml:space="preserve">As avaliações de crescimento foram realizadas 75 dias após a semeadura. Os parâmetros morfológicos mensurados foram: altura total - H (cm), utilizando-se trena comum a partir do colo até a gema terminal e diâmetro à altura do coleto - DC (mm), utilizando-se paquímetro digital </w:t>
      </w:r>
      <w:proofErr w:type="spellStart"/>
      <w:r w:rsidRPr="00BC1D43">
        <w:rPr>
          <w:rFonts w:ascii="Times New Roman" w:hAnsi="Times New Roman" w:cs="Times New Roman"/>
          <w:sz w:val="24"/>
          <w:szCs w:val="24"/>
        </w:rPr>
        <w:t>Caliper</w:t>
      </w:r>
      <w:proofErr w:type="spellEnd"/>
      <w:r w:rsidRPr="00BC1D43">
        <w:rPr>
          <w:rFonts w:ascii="Times New Roman" w:hAnsi="Times New Roman" w:cs="Times New Roman"/>
          <w:sz w:val="24"/>
          <w:szCs w:val="24"/>
        </w:rPr>
        <w:t xml:space="preserve"> (precisão de 0,01 mm). Para a determinação do Índice de Qualidade de Dickson, de cada</w:t>
      </w:r>
      <w:r w:rsidR="006E4442" w:rsidRPr="00BC1D43">
        <w:rPr>
          <w:rFonts w:ascii="Times New Roman" w:hAnsi="Times New Roman" w:cs="Times New Roman"/>
          <w:sz w:val="24"/>
          <w:szCs w:val="24"/>
        </w:rPr>
        <w:t xml:space="preserve"> tratamento foram selecionadas </w:t>
      </w:r>
      <w:r w:rsidR="004D3013" w:rsidRPr="00BC1D43">
        <w:rPr>
          <w:rFonts w:ascii="Times New Roman" w:hAnsi="Times New Roman" w:cs="Times New Roman"/>
          <w:sz w:val="24"/>
          <w:szCs w:val="24"/>
        </w:rPr>
        <w:t>aleatoriamente</w:t>
      </w:r>
      <w:r w:rsidR="004D3013" w:rsidRPr="00BC1D43">
        <w:rPr>
          <w:rFonts w:ascii="Times New Roman" w:hAnsi="Times New Roman" w:cs="Times New Roman"/>
          <w:sz w:val="24"/>
          <w:szCs w:val="24"/>
        </w:rPr>
        <w:t xml:space="preserve"> </w:t>
      </w:r>
      <w:r w:rsidR="006E4442" w:rsidRPr="00BC1D43">
        <w:rPr>
          <w:rFonts w:ascii="Times New Roman" w:hAnsi="Times New Roman" w:cs="Times New Roman"/>
          <w:sz w:val="24"/>
          <w:szCs w:val="24"/>
        </w:rPr>
        <w:t>cinco</w:t>
      </w:r>
      <w:r w:rsidRPr="00BC1D43">
        <w:rPr>
          <w:rFonts w:ascii="Times New Roman" w:hAnsi="Times New Roman" w:cs="Times New Roman"/>
          <w:sz w:val="24"/>
          <w:szCs w:val="24"/>
        </w:rPr>
        <w:t xml:space="preserve"> mudas. Estas foram separadas em parte radicular e parte aérea com auxílio de uma tesoura de poda. O substrato foi removido cuidadosamente para não causar danos ao sistema radicular das mudas e, posteriormente, estas foram lavadas com água destilada para </w:t>
      </w:r>
      <w:r w:rsidR="00B230FC" w:rsidRPr="00BC1D43">
        <w:rPr>
          <w:rFonts w:ascii="Times New Roman" w:hAnsi="Times New Roman" w:cs="Times New Roman"/>
          <w:sz w:val="24"/>
          <w:szCs w:val="24"/>
        </w:rPr>
        <w:t>a retirada de</w:t>
      </w:r>
      <w:r w:rsidRPr="00BC1D43">
        <w:rPr>
          <w:rFonts w:ascii="Times New Roman" w:hAnsi="Times New Roman" w:cs="Times New Roman"/>
          <w:sz w:val="24"/>
          <w:szCs w:val="24"/>
        </w:rPr>
        <w:t xml:space="preserve"> substrato </w:t>
      </w:r>
      <w:r w:rsidRPr="00BC1D43">
        <w:rPr>
          <w:rFonts w:ascii="Times New Roman" w:hAnsi="Times New Roman" w:cs="Times New Roman"/>
          <w:sz w:val="24"/>
          <w:szCs w:val="24"/>
        </w:rPr>
        <w:lastRenderedPageBreak/>
        <w:t>remanescente. Logo após, as mudas foram embaladas em sacos de papel e devidamente identificadas.</w:t>
      </w:r>
    </w:p>
    <w:p w:rsidR="003321C3" w:rsidRPr="00BC1D43" w:rsidRDefault="006022E7" w:rsidP="00BC1D43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1D43">
        <w:rPr>
          <w:rFonts w:ascii="Times New Roman" w:hAnsi="Times New Roman" w:cs="Times New Roman"/>
          <w:sz w:val="24"/>
          <w:szCs w:val="24"/>
        </w:rPr>
        <w:t xml:space="preserve">As mudas foram armazenadas em estufa durante 48 horas a 65ºC e, em seguida, pesadas separadamente as raízes e a parte aérea para a obtenção do peso de massa seca de raiz (PMSR) e do peso de massa seca da parte aérea (PMSA), respectivamente. O peso de massa seca total (PMST) foi obtido a partir do somatório de PMSR e PMSA. O IQD foi obtido a partir da fórmula: </w:t>
      </w:r>
    </w:p>
    <w:p w:rsidR="00EA06D9" w:rsidRPr="00BC1D43" w:rsidRDefault="00EA06D9" w:rsidP="00BC1D4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m:oMathPara>
        <m:oMath>
          <m:r>
            <m:rPr>
              <m:nor/>
            </m:rPr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  <m:t xml:space="preserve">IQD=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m:rPr>
                  <m:nor/>
                </m:rPr>
                <w:rPr>
                  <w:rFonts w:ascii="Times New Roman" w:hAnsi="Times New Roman" w:cs="Times New Roman"/>
                  <w:sz w:val="24"/>
                  <w:szCs w:val="24"/>
                </w:rPr>
                <m:t>PMST</m:t>
              </m:r>
            </m:num>
            <m:den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>H</m:t>
                  </m:r>
                </m:num>
                <m:den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>D</m:t>
                  </m:r>
                </m:den>
              </m:f>
              <m:r>
                <m:rPr>
                  <m:nor/>
                </m:rPr>
                <w:rPr>
                  <w:rFonts w:ascii="Times New Roman" w:hAnsi="Times New Roman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>PMSA</m:t>
                  </m:r>
                </m:num>
                <m:den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>PMSR</m:t>
                  </m:r>
                </m:den>
              </m:f>
            </m:den>
          </m:f>
        </m:oMath>
      </m:oMathPara>
    </w:p>
    <w:p w:rsidR="00EA06D9" w:rsidRPr="00BC1D43" w:rsidRDefault="00EA06D9" w:rsidP="00BC1D4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D43">
        <w:rPr>
          <w:rFonts w:ascii="Times New Roman" w:hAnsi="Times New Roman" w:cs="Times New Roman"/>
          <w:sz w:val="24"/>
          <w:szCs w:val="24"/>
        </w:rPr>
        <w:t>Onde:</w:t>
      </w:r>
    </w:p>
    <w:p w:rsidR="00EA06D9" w:rsidRPr="00BC1D43" w:rsidRDefault="00EA06D9" w:rsidP="00BC1D4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D43">
        <w:rPr>
          <w:rFonts w:ascii="Times New Roman" w:hAnsi="Times New Roman" w:cs="Times New Roman"/>
          <w:sz w:val="24"/>
          <w:szCs w:val="24"/>
        </w:rPr>
        <w:t xml:space="preserve">IQD – Índice de qualidade de </w:t>
      </w:r>
      <w:proofErr w:type="spellStart"/>
      <w:r w:rsidRPr="00BC1D43">
        <w:rPr>
          <w:rFonts w:ascii="Times New Roman" w:hAnsi="Times New Roman" w:cs="Times New Roman"/>
          <w:sz w:val="24"/>
          <w:szCs w:val="24"/>
        </w:rPr>
        <w:t>Dickson</w:t>
      </w:r>
      <w:proofErr w:type="spellEnd"/>
      <w:r w:rsidRPr="00BC1D43">
        <w:rPr>
          <w:rFonts w:ascii="Times New Roman" w:hAnsi="Times New Roman" w:cs="Times New Roman"/>
          <w:sz w:val="24"/>
          <w:szCs w:val="24"/>
        </w:rPr>
        <w:t>;</w:t>
      </w:r>
    </w:p>
    <w:p w:rsidR="00EA06D9" w:rsidRPr="00BC1D43" w:rsidRDefault="00EA06D9" w:rsidP="00BC1D4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D43">
        <w:rPr>
          <w:rFonts w:ascii="Times New Roman" w:hAnsi="Times New Roman" w:cs="Times New Roman"/>
          <w:sz w:val="24"/>
          <w:szCs w:val="24"/>
        </w:rPr>
        <w:t>H – altura (cm);</w:t>
      </w:r>
    </w:p>
    <w:p w:rsidR="00EA06D9" w:rsidRPr="00BC1D43" w:rsidRDefault="00EA06D9" w:rsidP="00BC1D4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D43">
        <w:rPr>
          <w:rFonts w:ascii="Times New Roman" w:hAnsi="Times New Roman" w:cs="Times New Roman"/>
          <w:sz w:val="24"/>
          <w:szCs w:val="24"/>
        </w:rPr>
        <w:t>D – diâmetro (mm);</w:t>
      </w:r>
    </w:p>
    <w:p w:rsidR="00EA06D9" w:rsidRPr="00BC1D43" w:rsidRDefault="00EA06D9" w:rsidP="00BC1D4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D43">
        <w:rPr>
          <w:rFonts w:ascii="Times New Roman" w:hAnsi="Times New Roman" w:cs="Times New Roman"/>
          <w:sz w:val="24"/>
          <w:szCs w:val="24"/>
        </w:rPr>
        <w:t xml:space="preserve">PMSA – </w:t>
      </w:r>
      <w:proofErr w:type="gramStart"/>
      <w:r w:rsidRPr="00BC1D43">
        <w:rPr>
          <w:rFonts w:ascii="Times New Roman" w:hAnsi="Times New Roman" w:cs="Times New Roman"/>
          <w:sz w:val="24"/>
          <w:szCs w:val="24"/>
        </w:rPr>
        <w:t>peso</w:t>
      </w:r>
      <w:proofErr w:type="gramEnd"/>
      <w:r w:rsidRPr="00BC1D43">
        <w:rPr>
          <w:rFonts w:ascii="Times New Roman" w:hAnsi="Times New Roman" w:cs="Times New Roman"/>
          <w:sz w:val="24"/>
          <w:szCs w:val="24"/>
        </w:rPr>
        <w:t xml:space="preserve"> de massa seca de parte aérea (g);</w:t>
      </w:r>
    </w:p>
    <w:p w:rsidR="00EA06D9" w:rsidRPr="00BC1D43" w:rsidRDefault="00EA06D9" w:rsidP="00BC1D4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D43">
        <w:rPr>
          <w:rFonts w:ascii="Times New Roman" w:hAnsi="Times New Roman" w:cs="Times New Roman"/>
          <w:sz w:val="24"/>
          <w:szCs w:val="24"/>
        </w:rPr>
        <w:t xml:space="preserve">PMSR – </w:t>
      </w:r>
      <w:proofErr w:type="gramStart"/>
      <w:r w:rsidRPr="00BC1D43">
        <w:rPr>
          <w:rFonts w:ascii="Times New Roman" w:hAnsi="Times New Roman" w:cs="Times New Roman"/>
          <w:sz w:val="24"/>
          <w:szCs w:val="24"/>
        </w:rPr>
        <w:t>peso</w:t>
      </w:r>
      <w:proofErr w:type="gramEnd"/>
      <w:r w:rsidRPr="00BC1D43">
        <w:rPr>
          <w:rFonts w:ascii="Times New Roman" w:hAnsi="Times New Roman" w:cs="Times New Roman"/>
          <w:sz w:val="24"/>
          <w:szCs w:val="24"/>
        </w:rPr>
        <w:t xml:space="preserve"> de massa seca de </w:t>
      </w:r>
      <w:proofErr w:type="spellStart"/>
      <w:r w:rsidRPr="00BC1D43">
        <w:rPr>
          <w:rFonts w:ascii="Times New Roman" w:hAnsi="Times New Roman" w:cs="Times New Roman"/>
          <w:sz w:val="24"/>
          <w:szCs w:val="24"/>
        </w:rPr>
        <w:t>raíz</w:t>
      </w:r>
      <w:proofErr w:type="spellEnd"/>
      <w:r w:rsidRPr="00BC1D43">
        <w:rPr>
          <w:rFonts w:ascii="Times New Roman" w:hAnsi="Times New Roman" w:cs="Times New Roman"/>
          <w:sz w:val="24"/>
          <w:szCs w:val="24"/>
        </w:rPr>
        <w:t xml:space="preserve"> (g)</w:t>
      </w:r>
      <w:r w:rsidR="00074DF7" w:rsidRPr="00BC1D43">
        <w:rPr>
          <w:rFonts w:ascii="Times New Roman" w:hAnsi="Times New Roman" w:cs="Times New Roman"/>
          <w:sz w:val="24"/>
          <w:szCs w:val="24"/>
        </w:rPr>
        <w:t>.</w:t>
      </w:r>
    </w:p>
    <w:p w:rsidR="00803568" w:rsidRPr="00BC1D43" w:rsidRDefault="00803568" w:rsidP="00BC1D43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1D43">
        <w:rPr>
          <w:rFonts w:ascii="Times New Roman" w:hAnsi="Times New Roman" w:cs="Times New Roman"/>
          <w:sz w:val="24"/>
          <w:szCs w:val="24"/>
        </w:rPr>
        <w:t>O</w:t>
      </w:r>
      <w:r w:rsidR="006022E7" w:rsidRPr="00BC1D43">
        <w:rPr>
          <w:rFonts w:ascii="Times New Roman" w:hAnsi="Times New Roman" w:cs="Times New Roman"/>
          <w:sz w:val="24"/>
          <w:szCs w:val="24"/>
        </w:rPr>
        <w:t xml:space="preserve"> delineamento experimenta</w:t>
      </w:r>
      <w:r w:rsidRPr="00BC1D43">
        <w:rPr>
          <w:rFonts w:ascii="Times New Roman" w:hAnsi="Times New Roman" w:cs="Times New Roman"/>
          <w:sz w:val="24"/>
          <w:szCs w:val="24"/>
        </w:rPr>
        <w:t>l</w:t>
      </w:r>
      <w:r w:rsidR="006022E7" w:rsidRPr="00BC1D43">
        <w:rPr>
          <w:rFonts w:ascii="Times New Roman" w:hAnsi="Times New Roman" w:cs="Times New Roman"/>
          <w:sz w:val="24"/>
          <w:szCs w:val="24"/>
        </w:rPr>
        <w:t xml:space="preserve"> fo</w:t>
      </w:r>
      <w:r w:rsidRPr="00BC1D43">
        <w:rPr>
          <w:rFonts w:ascii="Times New Roman" w:hAnsi="Times New Roman" w:cs="Times New Roman"/>
          <w:sz w:val="24"/>
          <w:szCs w:val="24"/>
        </w:rPr>
        <w:t>i</w:t>
      </w:r>
      <w:r w:rsidR="006022E7" w:rsidRPr="00BC1D43">
        <w:rPr>
          <w:rFonts w:ascii="Times New Roman" w:hAnsi="Times New Roman" w:cs="Times New Roman"/>
          <w:sz w:val="24"/>
          <w:szCs w:val="24"/>
        </w:rPr>
        <w:t xml:space="preserve"> inteiramente </w:t>
      </w:r>
      <w:proofErr w:type="spellStart"/>
      <w:r w:rsidR="006022E7" w:rsidRPr="00BC1D43">
        <w:rPr>
          <w:rFonts w:ascii="Times New Roman" w:hAnsi="Times New Roman" w:cs="Times New Roman"/>
          <w:sz w:val="24"/>
          <w:szCs w:val="24"/>
        </w:rPr>
        <w:t>cas</w:t>
      </w:r>
      <w:r w:rsidR="00317F97" w:rsidRPr="00BC1D43">
        <w:rPr>
          <w:rFonts w:ascii="Times New Roman" w:hAnsi="Times New Roman" w:cs="Times New Roman"/>
          <w:sz w:val="24"/>
          <w:szCs w:val="24"/>
        </w:rPr>
        <w:t>ualisado</w:t>
      </w:r>
      <w:proofErr w:type="spellEnd"/>
      <w:r w:rsidR="006022E7" w:rsidRPr="00BC1D43">
        <w:rPr>
          <w:rFonts w:ascii="Times New Roman" w:hAnsi="Times New Roman" w:cs="Times New Roman"/>
          <w:sz w:val="24"/>
          <w:szCs w:val="24"/>
        </w:rPr>
        <w:t>, utilizando-se dois fatores</w:t>
      </w:r>
      <w:r w:rsidR="00074DF7" w:rsidRPr="00BC1D43">
        <w:rPr>
          <w:rFonts w:ascii="Times New Roman" w:hAnsi="Times New Roman" w:cs="Times New Roman"/>
          <w:sz w:val="24"/>
          <w:szCs w:val="24"/>
        </w:rPr>
        <w:t>:</w:t>
      </w:r>
      <w:r w:rsidR="006022E7" w:rsidRPr="00BC1D43">
        <w:rPr>
          <w:rFonts w:ascii="Times New Roman" w:hAnsi="Times New Roman" w:cs="Times New Roman"/>
          <w:sz w:val="24"/>
          <w:szCs w:val="24"/>
        </w:rPr>
        <w:t xml:space="preserve"> </w:t>
      </w:r>
      <w:r w:rsidR="005959AC" w:rsidRPr="00BC1D43">
        <w:rPr>
          <w:rFonts w:ascii="Times New Roman" w:hAnsi="Times New Roman" w:cs="Times New Roman"/>
          <w:sz w:val="24"/>
          <w:szCs w:val="24"/>
        </w:rPr>
        <w:t>d</w:t>
      </w:r>
      <w:r w:rsidR="006022E7" w:rsidRPr="00BC1D43">
        <w:rPr>
          <w:rFonts w:ascii="Times New Roman" w:hAnsi="Times New Roman" w:cs="Times New Roman"/>
          <w:sz w:val="24"/>
          <w:szCs w:val="24"/>
        </w:rPr>
        <w:t>o</w:t>
      </w:r>
      <w:r w:rsidR="005959AC" w:rsidRPr="00BC1D43">
        <w:rPr>
          <w:rFonts w:ascii="Times New Roman" w:hAnsi="Times New Roman" w:cs="Times New Roman"/>
          <w:sz w:val="24"/>
          <w:szCs w:val="24"/>
        </w:rPr>
        <w:t>i</w:t>
      </w:r>
      <w:r w:rsidR="006022E7" w:rsidRPr="00BC1D43">
        <w:rPr>
          <w:rFonts w:ascii="Times New Roman" w:hAnsi="Times New Roman" w:cs="Times New Roman"/>
          <w:sz w:val="24"/>
          <w:szCs w:val="24"/>
        </w:rPr>
        <w:t xml:space="preserve">s </w:t>
      </w:r>
      <w:r w:rsidRPr="00BC1D43">
        <w:rPr>
          <w:rFonts w:ascii="Times New Roman" w:hAnsi="Times New Roman" w:cs="Times New Roman"/>
          <w:sz w:val="24"/>
          <w:szCs w:val="24"/>
        </w:rPr>
        <w:t>volume</w:t>
      </w:r>
      <w:r w:rsidR="005959AC" w:rsidRPr="00BC1D43">
        <w:rPr>
          <w:rFonts w:ascii="Times New Roman" w:hAnsi="Times New Roman" w:cs="Times New Roman"/>
          <w:sz w:val="24"/>
          <w:szCs w:val="24"/>
        </w:rPr>
        <w:t>s de</w:t>
      </w:r>
      <w:r w:rsidRPr="00BC1D43">
        <w:rPr>
          <w:rFonts w:ascii="Times New Roman" w:hAnsi="Times New Roman" w:cs="Times New Roman"/>
          <w:sz w:val="24"/>
          <w:szCs w:val="24"/>
        </w:rPr>
        <w:t xml:space="preserve"> </w:t>
      </w:r>
      <w:r w:rsidR="006022E7" w:rsidRPr="00BC1D43">
        <w:rPr>
          <w:rFonts w:ascii="Times New Roman" w:hAnsi="Times New Roman" w:cs="Times New Roman"/>
          <w:sz w:val="24"/>
          <w:szCs w:val="24"/>
        </w:rPr>
        <w:t>recipientes</w:t>
      </w:r>
      <w:r w:rsidRPr="00BC1D43">
        <w:rPr>
          <w:rFonts w:ascii="Times New Roman" w:hAnsi="Times New Roman" w:cs="Times New Roman"/>
          <w:sz w:val="24"/>
          <w:szCs w:val="24"/>
        </w:rPr>
        <w:t xml:space="preserve"> </w:t>
      </w:r>
      <w:r w:rsidR="005959AC" w:rsidRPr="00BC1D43">
        <w:rPr>
          <w:rFonts w:ascii="Times New Roman" w:hAnsi="Times New Roman" w:cs="Times New Roman"/>
          <w:sz w:val="24"/>
          <w:szCs w:val="24"/>
        </w:rPr>
        <w:t xml:space="preserve">de produção, </w:t>
      </w:r>
      <w:proofErr w:type="spellStart"/>
      <w:r w:rsidR="006022E7" w:rsidRPr="00BC1D43">
        <w:rPr>
          <w:rFonts w:ascii="Times New Roman" w:hAnsi="Times New Roman" w:cs="Times New Roman"/>
          <w:sz w:val="24"/>
          <w:szCs w:val="24"/>
        </w:rPr>
        <w:t>tubetes</w:t>
      </w:r>
      <w:proofErr w:type="spellEnd"/>
      <w:r w:rsidR="006022E7" w:rsidRPr="00BC1D43">
        <w:rPr>
          <w:rFonts w:ascii="Times New Roman" w:hAnsi="Times New Roman" w:cs="Times New Roman"/>
          <w:sz w:val="24"/>
          <w:szCs w:val="24"/>
        </w:rPr>
        <w:t xml:space="preserve"> de polipropileno de 56 cm³ e 120 cm³</w:t>
      </w:r>
      <w:r w:rsidR="005959AC" w:rsidRPr="00BC1D43">
        <w:rPr>
          <w:rFonts w:ascii="Times New Roman" w:hAnsi="Times New Roman" w:cs="Times New Roman"/>
          <w:sz w:val="24"/>
          <w:szCs w:val="24"/>
        </w:rPr>
        <w:t>,</w:t>
      </w:r>
      <w:r w:rsidR="00074DF7" w:rsidRPr="00BC1D43">
        <w:rPr>
          <w:rFonts w:ascii="Times New Roman" w:hAnsi="Times New Roman" w:cs="Times New Roman"/>
          <w:sz w:val="24"/>
          <w:szCs w:val="24"/>
        </w:rPr>
        <w:t xml:space="preserve"> e </w:t>
      </w:r>
      <w:r w:rsidR="005959AC" w:rsidRPr="00BC1D43">
        <w:rPr>
          <w:rFonts w:ascii="Times New Roman" w:hAnsi="Times New Roman" w:cs="Times New Roman"/>
          <w:sz w:val="24"/>
          <w:szCs w:val="24"/>
        </w:rPr>
        <w:t>cinco</w:t>
      </w:r>
      <w:r w:rsidR="00074DF7" w:rsidRPr="00BC1D43">
        <w:rPr>
          <w:rFonts w:ascii="Times New Roman" w:hAnsi="Times New Roman" w:cs="Times New Roman"/>
          <w:sz w:val="24"/>
          <w:szCs w:val="24"/>
        </w:rPr>
        <w:t xml:space="preserve"> dosagens de fertilizante fosfatado</w:t>
      </w:r>
      <w:r w:rsidR="005959AC" w:rsidRPr="00BC1D43">
        <w:rPr>
          <w:rFonts w:ascii="Times New Roman" w:hAnsi="Times New Roman" w:cs="Times New Roman"/>
          <w:sz w:val="24"/>
          <w:szCs w:val="24"/>
        </w:rPr>
        <w:t xml:space="preserve">, </w:t>
      </w:r>
      <w:r w:rsidR="005959AC" w:rsidRPr="00BC1D43">
        <w:rPr>
          <w:rFonts w:ascii="Times New Roman" w:hAnsi="Times New Roman" w:cs="Times New Roman"/>
          <w:sz w:val="24"/>
          <w:szCs w:val="24"/>
        </w:rPr>
        <w:t>180, 360, 540, 720 e 900 g de P</w:t>
      </w:r>
      <w:r w:rsidR="005959AC" w:rsidRPr="00BC1D4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959AC" w:rsidRPr="00BC1D43">
        <w:rPr>
          <w:rFonts w:ascii="Times New Roman" w:hAnsi="Times New Roman" w:cs="Times New Roman"/>
          <w:sz w:val="24"/>
          <w:szCs w:val="24"/>
        </w:rPr>
        <w:t>O</w:t>
      </w:r>
      <w:r w:rsidR="005959AC" w:rsidRPr="00BC1D43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5959AC" w:rsidRPr="00BC1D43">
        <w:rPr>
          <w:rFonts w:ascii="Times New Roman" w:hAnsi="Times New Roman" w:cs="Times New Roman"/>
          <w:sz w:val="24"/>
          <w:szCs w:val="24"/>
        </w:rPr>
        <w:t xml:space="preserve">/m³ de substrato. </w:t>
      </w:r>
      <w:r w:rsidR="00074DF7" w:rsidRPr="00BC1D43">
        <w:rPr>
          <w:rFonts w:ascii="Times New Roman" w:hAnsi="Times New Roman" w:cs="Times New Roman"/>
          <w:sz w:val="24"/>
          <w:szCs w:val="24"/>
        </w:rPr>
        <w:t>Para cada tratamento f</w:t>
      </w:r>
      <w:r w:rsidRPr="00BC1D43">
        <w:rPr>
          <w:rFonts w:ascii="Times New Roman" w:hAnsi="Times New Roman" w:cs="Times New Roman"/>
          <w:sz w:val="24"/>
          <w:szCs w:val="24"/>
        </w:rPr>
        <w:t xml:space="preserve">oram </w:t>
      </w:r>
      <w:r w:rsidR="002D5BEC" w:rsidRPr="00BC1D43">
        <w:rPr>
          <w:rFonts w:ascii="Times New Roman" w:hAnsi="Times New Roman" w:cs="Times New Roman"/>
          <w:sz w:val="24"/>
          <w:szCs w:val="24"/>
        </w:rPr>
        <w:t xml:space="preserve">realizadas cinco repetições. </w:t>
      </w:r>
      <w:r w:rsidR="00506FE0" w:rsidRPr="00BC1D43">
        <w:rPr>
          <w:rFonts w:ascii="Times New Roman" w:hAnsi="Times New Roman" w:cs="Times New Roman"/>
          <w:sz w:val="24"/>
          <w:szCs w:val="24"/>
        </w:rPr>
        <w:t xml:space="preserve">Os dados foram descritos através de média e desvio-padrão. </w:t>
      </w:r>
      <w:r w:rsidR="002D5BEC" w:rsidRPr="00BC1D43">
        <w:rPr>
          <w:rFonts w:ascii="Times New Roman" w:hAnsi="Times New Roman" w:cs="Times New Roman"/>
          <w:sz w:val="24"/>
          <w:szCs w:val="24"/>
        </w:rPr>
        <w:t xml:space="preserve">Foi utilizado o teste de Mann-Whitney para comparação de médias </w:t>
      </w:r>
      <w:proofErr w:type="gramStart"/>
      <w:r w:rsidR="002D5BEC" w:rsidRPr="00BC1D43">
        <w:rPr>
          <w:rFonts w:ascii="Times New Roman" w:hAnsi="Times New Roman" w:cs="Times New Roman"/>
          <w:sz w:val="24"/>
          <w:szCs w:val="24"/>
        </w:rPr>
        <w:t>não-pareadas</w:t>
      </w:r>
      <w:proofErr w:type="gramEnd"/>
      <w:r w:rsidR="002D5BEC" w:rsidRPr="00BC1D43">
        <w:rPr>
          <w:rFonts w:ascii="Times New Roman" w:hAnsi="Times New Roman" w:cs="Times New Roman"/>
          <w:sz w:val="24"/>
          <w:szCs w:val="24"/>
        </w:rPr>
        <w:t xml:space="preserve">. </w:t>
      </w:r>
      <w:r w:rsidR="00074DF7" w:rsidRPr="00BC1D43">
        <w:rPr>
          <w:rFonts w:ascii="Times New Roman" w:hAnsi="Times New Roman" w:cs="Times New Roman"/>
          <w:sz w:val="24"/>
          <w:szCs w:val="24"/>
        </w:rPr>
        <w:t xml:space="preserve">Os dados foram avaliados por meio do software </w:t>
      </w:r>
      <w:r w:rsidR="00074DF7" w:rsidRPr="00BC1D43">
        <w:rPr>
          <w:rFonts w:ascii="Times New Roman" w:hAnsi="Times New Roman" w:cs="Times New Roman"/>
          <w:sz w:val="24"/>
          <w:szCs w:val="24"/>
        </w:rPr>
        <w:t>SPSS for Windows versão 17</w:t>
      </w:r>
      <w:r w:rsidR="00074DF7" w:rsidRPr="00BC1D43">
        <w:rPr>
          <w:rFonts w:ascii="Times New Roman" w:hAnsi="Times New Roman" w:cs="Times New Roman"/>
          <w:sz w:val="24"/>
          <w:szCs w:val="24"/>
        </w:rPr>
        <w:t xml:space="preserve"> considerando 5% </w:t>
      </w:r>
      <w:r w:rsidR="002D5BEC" w:rsidRPr="00BC1D43">
        <w:rPr>
          <w:rFonts w:ascii="Times New Roman" w:hAnsi="Times New Roman" w:cs="Times New Roman"/>
          <w:sz w:val="24"/>
          <w:szCs w:val="24"/>
        </w:rPr>
        <w:t>nível de significância.</w:t>
      </w:r>
    </w:p>
    <w:p w:rsidR="006022E7" w:rsidRPr="00BC1D43" w:rsidRDefault="006022E7" w:rsidP="00BC1D43">
      <w:pPr>
        <w:spacing w:before="600"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1D43">
        <w:rPr>
          <w:rFonts w:ascii="Times New Roman" w:hAnsi="Times New Roman" w:cs="Times New Roman"/>
          <w:b/>
          <w:bCs/>
          <w:sz w:val="24"/>
          <w:szCs w:val="24"/>
        </w:rPr>
        <w:t>RESULTADOS</w:t>
      </w:r>
      <w:r w:rsidR="000075A8">
        <w:rPr>
          <w:rFonts w:ascii="Times New Roman" w:hAnsi="Times New Roman" w:cs="Times New Roman"/>
          <w:b/>
          <w:bCs/>
          <w:sz w:val="24"/>
          <w:szCs w:val="24"/>
        </w:rPr>
        <w:t xml:space="preserve"> E DISCUSSÃO</w:t>
      </w:r>
    </w:p>
    <w:p w:rsidR="004B1BCB" w:rsidRPr="00BC1D43" w:rsidRDefault="008C6F6B" w:rsidP="00BC1D43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1D43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6022E7" w:rsidRPr="00BC1D43">
        <w:rPr>
          <w:rFonts w:ascii="Times New Roman" w:hAnsi="Times New Roman" w:cs="Times New Roman"/>
          <w:sz w:val="24"/>
          <w:szCs w:val="24"/>
        </w:rPr>
        <w:t xml:space="preserve"> Tabela 1</w:t>
      </w:r>
      <w:r w:rsidR="00A526F3" w:rsidRPr="00BC1D43">
        <w:rPr>
          <w:rFonts w:ascii="Times New Roman" w:hAnsi="Times New Roman" w:cs="Times New Roman"/>
          <w:sz w:val="24"/>
          <w:szCs w:val="24"/>
        </w:rPr>
        <w:t xml:space="preserve"> apresenta os resultados de</w:t>
      </w:r>
      <w:r w:rsidRPr="00BC1D43">
        <w:rPr>
          <w:rFonts w:ascii="Times New Roman" w:hAnsi="Times New Roman" w:cs="Times New Roman"/>
          <w:sz w:val="24"/>
          <w:szCs w:val="24"/>
        </w:rPr>
        <w:t xml:space="preserve"> média e desvio-padrão </w:t>
      </w:r>
      <w:r w:rsidR="00411D03" w:rsidRPr="00BC1D43">
        <w:rPr>
          <w:rFonts w:ascii="Times New Roman" w:hAnsi="Times New Roman" w:cs="Times New Roman"/>
          <w:sz w:val="24"/>
          <w:szCs w:val="24"/>
        </w:rPr>
        <w:t xml:space="preserve">do Índice de Qualidade de </w:t>
      </w:r>
      <w:proofErr w:type="spellStart"/>
      <w:r w:rsidR="00411D03" w:rsidRPr="00BC1D43">
        <w:rPr>
          <w:rFonts w:ascii="Times New Roman" w:hAnsi="Times New Roman" w:cs="Times New Roman"/>
          <w:sz w:val="24"/>
          <w:szCs w:val="24"/>
        </w:rPr>
        <w:t>Dickson</w:t>
      </w:r>
      <w:proofErr w:type="spellEnd"/>
      <w:r w:rsidR="00411D03" w:rsidRPr="00BC1D43">
        <w:rPr>
          <w:rFonts w:ascii="Times New Roman" w:hAnsi="Times New Roman" w:cs="Times New Roman"/>
          <w:sz w:val="24"/>
          <w:szCs w:val="24"/>
        </w:rPr>
        <w:t xml:space="preserve"> </w:t>
      </w:r>
      <w:r w:rsidRPr="00BC1D43">
        <w:rPr>
          <w:rFonts w:ascii="Times New Roman" w:hAnsi="Times New Roman" w:cs="Times New Roman"/>
          <w:sz w:val="24"/>
          <w:szCs w:val="24"/>
        </w:rPr>
        <w:t xml:space="preserve">para </w:t>
      </w:r>
      <w:r w:rsidRPr="00BC1D43">
        <w:rPr>
          <w:rFonts w:ascii="Times New Roman" w:hAnsi="Times New Roman" w:cs="Times New Roman"/>
          <w:i/>
          <w:sz w:val="24"/>
          <w:szCs w:val="24"/>
        </w:rPr>
        <w:t>S</w:t>
      </w:r>
      <w:r w:rsidR="00311394" w:rsidRPr="00BC1D43">
        <w:rPr>
          <w:rFonts w:ascii="Times New Roman" w:hAnsi="Times New Roman" w:cs="Times New Roman"/>
          <w:i/>
          <w:sz w:val="24"/>
          <w:szCs w:val="24"/>
        </w:rPr>
        <w:t>.</w:t>
      </w:r>
      <w:r w:rsidRPr="00BC1D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1D43">
        <w:rPr>
          <w:rFonts w:ascii="Times New Roman" w:hAnsi="Times New Roman" w:cs="Times New Roman"/>
          <w:i/>
          <w:sz w:val="24"/>
          <w:szCs w:val="24"/>
        </w:rPr>
        <w:t>saponaria</w:t>
      </w:r>
      <w:proofErr w:type="spellEnd"/>
      <w:r w:rsidRPr="00BC1D43">
        <w:rPr>
          <w:rFonts w:ascii="Times New Roman" w:hAnsi="Times New Roman" w:cs="Times New Roman"/>
          <w:sz w:val="24"/>
          <w:szCs w:val="24"/>
        </w:rPr>
        <w:t>.</w:t>
      </w:r>
      <w:r w:rsidR="00F15D8E" w:rsidRPr="00BC1D43">
        <w:rPr>
          <w:rFonts w:ascii="Times New Roman" w:hAnsi="Times New Roman" w:cs="Times New Roman"/>
          <w:sz w:val="24"/>
          <w:szCs w:val="24"/>
        </w:rPr>
        <w:t xml:space="preserve"> Foi obtida diferença significativa para as concentrações de 360 e 720 </w:t>
      </w:r>
      <w:r w:rsidR="00C90A15" w:rsidRPr="00BC1D43">
        <w:rPr>
          <w:rFonts w:ascii="Times New Roman" w:hAnsi="Times New Roman" w:cs="Times New Roman"/>
          <w:sz w:val="24"/>
          <w:szCs w:val="24"/>
        </w:rPr>
        <w:t>g de P</w:t>
      </w:r>
      <w:r w:rsidR="00C90A15" w:rsidRPr="00BC1D4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90A15" w:rsidRPr="00BC1D43">
        <w:rPr>
          <w:rFonts w:ascii="Times New Roman" w:hAnsi="Times New Roman" w:cs="Times New Roman"/>
          <w:sz w:val="24"/>
          <w:szCs w:val="24"/>
        </w:rPr>
        <w:t>O</w:t>
      </w:r>
      <w:r w:rsidR="00C90A15" w:rsidRPr="00BC1D43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C90A15" w:rsidRPr="00BC1D43">
        <w:rPr>
          <w:rFonts w:ascii="Times New Roman" w:hAnsi="Times New Roman" w:cs="Times New Roman"/>
          <w:sz w:val="24"/>
          <w:szCs w:val="24"/>
        </w:rPr>
        <w:t>/m³</w:t>
      </w:r>
      <w:r w:rsidR="00F15D8E" w:rsidRPr="00BC1D43">
        <w:rPr>
          <w:rFonts w:ascii="Times New Roman" w:hAnsi="Times New Roman" w:cs="Times New Roman"/>
          <w:sz w:val="24"/>
          <w:szCs w:val="24"/>
        </w:rPr>
        <w:t xml:space="preserve"> ao considerar os testes t e Mann-</w:t>
      </w:r>
      <w:proofErr w:type="spellStart"/>
      <w:r w:rsidR="00F15D8E" w:rsidRPr="00BC1D43">
        <w:rPr>
          <w:rFonts w:ascii="Times New Roman" w:hAnsi="Times New Roman" w:cs="Times New Roman"/>
          <w:sz w:val="24"/>
          <w:szCs w:val="24"/>
        </w:rPr>
        <w:t>Whytney</w:t>
      </w:r>
      <w:proofErr w:type="spellEnd"/>
      <w:r w:rsidR="00F15D8E" w:rsidRPr="00BC1D43">
        <w:rPr>
          <w:rFonts w:ascii="Times New Roman" w:hAnsi="Times New Roman" w:cs="Times New Roman"/>
          <w:sz w:val="24"/>
          <w:szCs w:val="24"/>
        </w:rPr>
        <w:t xml:space="preserve">. Para as duas concentrações referidas o tubete de 120 cm³ promoveu maiores </w:t>
      </w:r>
      <w:r w:rsidR="009749CE" w:rsidRPr="00BC1D43">
        <w:rPr>
          <w:rFonts w:ascii="Times New Roman" w:hAnsi="Times New Roman" w:cs="Times New Roman"/>
          <w:sz w:val="24"/>
          <w:szCs w:val="24"/>
        </w:rPr>
        <w:t>Índices de Q</w:t>
      </w:r>
      <w:r w:rsidR="00F15D8E" w:rsidRPr="00BC1D43">
        <w:rPr>
          <w:rFonts w:ascii="Times New Roman" w:hAnsi="Times New Roman" w:cs="Times New Roman"/>
          <w:sz w:val="24"/>
          <w:szCs w:val="24"/>
        </w:rPr>
        <w:t>ualidade de Dickson.</w:t>
      </w:r>
    </w:p>
    <w:p w:rsidR="004D4623" w:rsidRPr="00BC1D43" w:rsidRDefault="004D4623" w:rsidP="004D462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D43">
        <w:rPr>
          <w:rFonts w:ascii="Times New Roman" w:hAnsi="Times New Roman" w:cs="Times New Roman"/>
          <w:b/>
          <w:bCs/>
          <w:sz w:val="24"/>
          <w:szCs w:val="24"/>
        </w:rPr>
        <w:t xml:space="preserve">Tabela 1 </w:t>
      </w:r>
      <w:r w:rsidRPr="00BC1D43">
        <w:rPr>
          <w:rFonts w:ascii="Times New Roman" w:hAnsi="Times New Roman" w:cs="Times New Roman"/>
          <w:sz w:val="24"/>
          <w:szCs w:val="24"/>
        </w:rPr>
        <w:t xml:space="preserve">– Média e desvio-padrão de Índice de Qualidade de </w:t>
      </w:r>
      <w:proofErr w:type="spellStart"/>
      <w:r w:rsidRPr="00BC1D43">
        <w:rPr>
          <w:rFonts w:ascii="Times New Roman" w:hAnsi="Times New Roman" w:cs="Times New Roman"/>
          <w:sz w:val="24"/>
          <w:szCs w:val="24"/>
        </w:rPr>
        <w:t>Dickson</w:t>
      </w:r>
      <w:proofErr w:type="spellEnd"/>
      <w:r w:rsidRPr="00BC1D43">
        <w:rPr>
          <w:rFonts w:ascii="Times New Roman" w:hAnsi="Times New Roman" w:cs="Times New Roman"/>
          <w:sz w:val="24"/>
          <w:szCs w:val="24"/>
        </w:rPr>
        <w:t xml:space="preserve"> para os diferentes recipientes em cada concentração de P</w:t>
      </w:r>
      <w:r w:rsidRPr="00BC1D4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C1D43">
        <w:rPr>
          <w:rFonts w:ascii="Times New Roman" w:hAnsi="Times New Roman" w:cs="Times New Roman"/>
          <w:sz w:val="24"/>
          <w:szCs w:val="24"/>
        </w:rPr>
        <w:t>O</w:t>
      </w:r>
      <w:r w:rsidRPr="00BC1D43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BC1D43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BC1D43">
        <w:rPr>
          <w:rFonts w:ascii="Times New Roman" w:hAnsi="Times New Roman" w:cs="Times New Roman"/>
          <w:i/>
          <w:sz w:val="24"/>
          <w:szCs w:val="24"/>
        </w:rPr>
        <w:t>Sapindus</w:t>
      </w:r>
      <w:proofErr w:type="spellEnd"/>
      <w:r w:rsidRPr="00BC1D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1D43">
        <w:rPr>
          <w:rFonts w:ascii="Times New Roman" w:hAnsi="Times New Roman" w:cs="Times New Roman"/>
          <w:i/>
          <w:sz w:val="24"/>
          <w:szCs w:val="24"/>
        </w:rPr>
        <w:t>saponaria</w:t>
      </w:r>
      <w:proofErr w:type="spellEnd"/>
      <w:r w:rsidRPr="00BC1D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C1D43">
        <w:rPr>
          <w:rFonts w:ascii="Times New Roman" w:hAnsi="Times New Roman" w:cs="Times New Roman"/>
          <w:sz w:val="24"/>
          <w:szCs w:val="24"/>
        </w:rPr>
        <w:t>L.</w:t>
      </w:r>
    </w:p>
    <w:tbl>
      <w:tblPr>
        <w:tblW w:w="93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1228"/>
        <w:gridCol w:w="1276"/>
        <w:gridCol w:w="1660"/>
        <w:gridCol w:w="2450"/>
      </w:tblGrid>
      <w:tr w:rsidR="00D10922" w:rsidRPr="00D10922" w:rsidTr="00504CC1">
        <w:trPr>
          <w:trHeight w:val="315"/>
        </w:trPr>
        <w:tc>
          <w:tcPr>
            <w:tcW w:w="270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Concentração de P</w:t>
            </w:r>
            <w:r w:rsidRPr="00D10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eastAsia="pt-BR"/>
              </w:rPr>
              <w:t>2</w:t>
            </w:r>
            <w:r w:rsidRPr="00D10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O</w:t>
            </w:r>
            <w:r w:rsidRPr="00D10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eastAsia="pt-BR"/>
              </w:rPr>
              <w:t>5</w:t>
            </w:r>
            <w:r w:rsidRPr="00D10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(g/m³)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Recipiente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 (p-valor)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Teste Mann-</w:t>
            </w:r>
            <w:proofErr w:type="spellStart"/>
            <w:r w:rsidRPr="00D10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Whytney</w:t>
            </w:r>
            <w:proofErr w:type="spellEnd"/>
          </w:p>
        </w:tc>
      </w:tr>
      <w:tr w:rsidR="00D10922" w:rsidRPr="00D10922" w:rsidTr="00504CC1">
        <w:trPr>
          <w:trHeight w:val="315"/>
        </w:trPr>
        <w:tc>
          <w:tcPr>
            <w:tcW w:w="2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10922" w:rsidRPr="00D10922" w:rsidRDefault="00D10922" w:rsidP="00504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120 cm³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56 cm³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10922" w:rsidRPr="00D10922" w:rsidRDefault="00D10922" w:rsidP="00504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10922" w:rsidRPr="00D10922" w:rsidRDefault="00D10922" w:rsidP="00504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D10922" w:rsidRPr="00D10922" w:rsidTr="00504CC1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0,31 (0,10)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0,20 (0,05)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2,197 (0,059)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0,095</w:t>
            </w:r>
          </w:p>
        </w:tc>
      </w:tr>
      <w:tr w:rsidR="00D10922" w:rsidRPr="00D10922" w:rsidTr="00504CC1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360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0,29 (0,09)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0,14 (0,04)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3,347 (0,017)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0,016</w:t>
            </w:r>
          </w:p>
        </w:tc>
      </w:tr>
      <w:tr w:rsidR="00D10922" w:rsidRPr="00D10922" w:rsidTr="00504CC1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540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0,25 (0,09)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0,20 (0,05)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1,246 (0,248)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0,222</w:t>
            </w:r>
          </w:p>
        </w:tc>
      </w:tr>
      <w:tr w:rsidR="00D10922" w:rsidRPr="00D10922" w:rsidTr="00504CC1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720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0,31 (0,04)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0,16 (0,04)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6,064 (&lt;0,001)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0,008</w:t>
            </w:r>
          </w:p>
        </w:tc>
      </w:tr>
      <w:tr w:rsidR="00D10922" w:rsidRPr="00D10922" w:rsidTr="00504CC1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0,24 (0,04)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0,22 (0,03)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0,848 (0,421)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0,548</w:t>
            </w:r>
          </w:p>
        </w:tc>
      </w:tr>
    </w:tbl>
    <w:p w:rsidR="00D10922" w:rsidRDefault="009749CE" w:rsidP="004D4623">
      <w:pPr>
        <w:spacing w:before="20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1D43">
        <w:rPr>
          <w:rFonts w:ascii="Times New Roman" w:hAnsi="Times New Roman" w:cs="Times New Roman"/>
          <w:sz w:val="24"/>
          <w:szCs w:val="24"/>
        </w:rPr>
        <w:t xml:space="preserve">Para </w:t>
      </w:r>
      <w:r w:rsidR="00311394" w:rsidRPr="00BC1D43">
        <w:rPr>
          <w:rFonts w:ascii="Times New Roman" w:hAnsi="Times New Roman" w:cs="Times New Roman"/>
          <w:i/>
          <w:sz w:val="24"/>
          <w:szCs w:val="24"/>
        </w:rPr>
        <w:t>C.</w:t>
      </w:r>
      <w:r w:rsidRPr="00BC1D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1D43">
        <w:rPr>
          <w:rFonts w:ascii="Times New Roman" w:hAnsi="Times New Roman" w:cs="Times New Roman"/>
          <w:i/>
          <w:sz w:val="24"/>
          <w:szCs w:val="24"/>
        </w:rPr>
        <w:t>speciosa</w:t>
      </w:r>
      <w:proofErr w:type="spellEnd"/>
      <w:r w:rsidRPr="00BC1D4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BC1D43">
        <w:rPr>
          <w:rFonts w:ascii="Times New Roman" w:hAnsi="Times New Roman" w:cs="Times New Roman"/>
          <w:sz w:val="24"/>
          <w:szCs w:val="24"/>
        </w:rPr>
        <w:t xml:space="preserve">foram obtidas diferenças significativas nas concentrações de 180, 720 e 900 </w:t>
      </w:r>
      <w:r w:rsidR="00C90A15" w:rsidRPr="00BC1D43">
        <w:rPr>
          <w:rFonts w:ascii="Times New Roman" w:hAnsi="Times New Roman" w:cs="Times New Roman"/>
          <w:sz w:val="24"/>
          <w:szCs w:val="24"/>
        </w:rPr>
        <w:t>g de P</w:t>
      </w:r>
      <w:r w:rsidR="00C90A15" w:rsidRPr="00BC1D4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90A15" w:rsidRPr="00BC1D43">
        <w:rPr>
          <w:rFonts w:ascii="Times New Roman" w:hAnsi="Times New Roman" w:cs="Times New Roman"/>
          <w:sz w:val="24"/>
          <w:szCs w:val="24"/>
        </w:rPr>
        <w:t>O</w:t>
      </w:r>
      <w:r w:rsidR="00C90A15" w:rsidRPr="00BC1D43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C90A15" w:rsidRPr="00BC1D43">
        <w:rPr>
          <w:rFonts w:ascii="Times New Roman" w:hAnsi="Times New Roman" w:cs="Times New Roman"/>
          <w:sz w:val="24"/>
          <w:szCs w:val="24"/>
        </w:rPr>
        <w:t>/m³</w:t>
      </w:r>
      <w:r w:rsidRPr="00BC1D43">
        <w:rPr>
          <w:rFonts w:ascii="Times New Roman" w:hAnsi="Times New Roman" w:cs="Times New Roman"/>
          <w:sz w:val="24"/>
          <w:szCs w:val="24"/>
        </w:rPr>
        <w:t xml:space="preserve">, como pode ser observado na Tabela 2. </w:t>
      </w:r>
      <w:r w:rsidR="00900568" w:rsidRPr="00BC1D43">
        <w:rPr>
          <w:rFonts w:ascii="Times New Roman" w:hAnsi="Times New Roman" w:cs="Times New Roman"/>
          <w:sz w:val="24"/>
          <w:szCs w:val="24"/>
        </w:rPr>
        <w:t xml:space="preserve">Para essas concentrações, o IQD foi maior quando as mudas foram produzidas nos tubetes de 120 cm³. </w:t>
      </w:r>
      <w:r w:rsidR="006C59C6" w:rsidRPr="00BC1D43">
        <w:rPr>
          <w:rFonts w:ascii="Times New Roman" w:hAnsi="Times New Roman" w:cs="Times New Roman"/>
          <w:bCs/>
          <w:iCs/>
          <w:sz w:val="24"/>
          <w:szCs w:val="24"/>
        </w:rPr>
        <w:t xml:space="preserve">O fato de a concentração com 180 </w:t>
      </w:r>
      <w:r w:rsidR="00C90A15" w:rsidRPr="00BC1D43">
        <w:rPr>
          <w:rFonts w:ascii="Times New Roman" w:hAnsi="Times New Roman" w:cs="Times New Roman"/>
          <w:sz w:val="24"/>
          <w:szCs w:val="24"/>
        </w:rPr>
        <w:t>g de P</w:t>
      </w:r>
      <w:r w:rsidR="00C90A15" w:rsidRPr="00BC1D4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90A15" w:rsidRPr="00BC1D43">
        <w:rPr>
          <w:rFonts w:ascii="Times New Roman" w:hAnsi="Times New Roman" w:cs="Times New Roman"/>
          <w:sz w:val="24"/>
          <w:szCs w:val="24"/>
        </w:rPr>
        <w:t>O</w:t>
      </w:r>
      <w:r w:rsidR="00C90A15" w:rsidRPr="00BC1D43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C90A15" w:rsidRPr="00BC1D43">
        <w:rPr>
          <w:rFonts w:ascii="Times New Roman" w:hAnsi="Times New Roman" w:cs="Times New Roman"/>
          <w:sz w:val="24"/>
          <w:szCs w:val="24"/>
        </w:rPr>
        <w:t>/m³</w:t>
      </w:r>
      <w:r w:rsidR="006C59C6" w:rsidRPr="00BC1D4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7026E" w:rsidRPr="00BC1D43">
        <w:rPr>
          <w:rFonts w:ascii="Times New Roman" w:hAnsi="Times New Roman" w:cs="Times New Roman"/>
          <w:bCs/>
          <w:iCs/>
          <w:sz w:val="24"/>
          <w:szCs w:val="24"/>
        </w:rPr>
        <w:t xml:space="preserve">ter refletido em uma diferença significativa para a utilização dos diferentes tubetes </w:t>
      </w:r>
      <w:r w:rsidR="006C59C6" w:rsidRPr="00BC1D43">
        <w:rPr>
          <w:rFonts w:ascii="Times New Roman" w:hAnsi="Times New Roman" w:cs="Times New Roman"/>
          <w:bCs/>
          <w:iCs/>
          <w:sz w:val="24"/>
          <w:szCs w:val="24"/>
        </w:rPr>
        <w:t>demonstra que a adiç</w:t>
      </w:r>
      <w:r w:rsidR="00F7026E" w:rsidRPr="00BC1D43">
        <w:rPr>
          <w:rFonts w:ascii="Times New Roman" w:hAnsi="Times New Roman" w:cs="Times New Roman"/>
          <w:bCs/>
          <w:iCs/>
          <w:sz w:val="24"/>
          <w:szCs w:val="24"/>
        </w:rPr>
        <w:t>ão da</w:t>
      </w:r>
      <w:r w:rsidR="006C59C6" w:rsidRPr="00BC1D4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7026E" w:rsidRPr="00BC1D43">
        <w:rPr>
          <w:rFonts w:ascii="Times New Roman" w:hAnsi="Times New Roman" w:cs="Times New Roman"/>
          <w:bCs/>
          <w:iCs/>
          <w:sz w:val="24"/>
          <w:szCs w:val="24"/>
        </w:rPr>
        <w:t>menor concentração</w:t>
      </w:r>
      <w:r w:rsidR="006C59C6" w:rsidRPr="00BC1D43">
        <w:rPr>
          <w:rFonts w:ascii="Times New Roman" w:hAnsi="Times New Roman" w:cs="Times New Roman"/>
          <w:bCs/>
          <w:iCs/>
          <w:sz w:val="24"/>
          <w:szCs w:val="24"/>
        </w:rPr>
        <w:t xml:space="preserve"> utilizada de adubo </w:t>
      </w:r>
      <w:proofErr w:type="spellStart"/>
      <w:r w:rsidR="006C59C6" w:rsidRPr="00BC1D43">
        <w:rPr>
          <w:rFonts w:ascii="Times New Roman" w:hAnsi="Times New Roman" w:cs="Times New Roman"/>
          <w:bCs/>
          <w:iCs/>
          <w:sz w:val="24"/>
          <w:szCs w:val="24"/>
        </w:rPr>
        <w:t>fostatado</w:t>
      </w:r>
      <w:proofErr w:type="spellEnd"/>
      <w:r w:rsidR="006C59C6" w:rsidRPr="00BC1D43">
        <w:rPr>
          <w:rFonts w:ascii="Times New Roman" w:hAnsi="Times New Roman" w:cs="Times New Roman"/>
          <w:bCs/>
          <w:iCs/>
          <w:sz w:val="24"/>
          <w:szCs w:val="24"/>
        </w:rPr>
        <w:t xml:space="preserve"> foi suficiente para indicar o volume do recipiente onde as mudas apresentam maior IQD.</w:t>
      </w:r>
      <w:r w:rsidR="00F7026E" w:rsidRPr="00BC1D4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00568" w:rsidRPr="00BC1D43">
        <w:rPr>
          <w:rFonts w:ascii="Times New Roman" w:hAnsi="Times New Roman" w:cs="Times New Roman"/>
          <w:sz w:val="24"/>
          <w:szCs w:val="24"/>
        </w:rPr>
        <w:t xml:space="preserve">Embora o teste t tenha apresentado resultado significativo para a concentração de 360 </w:t>
      </w:r>
      <w:r w:rsidR="00C90A15" w:rsidRPr="00BC1D43">
        <w:rPr>
          <w:rFonts w:ascii="Times New Roman" w:hAnsi="Times New Roman" w:cs="Times New Roman"/>
          <w:sz w:val="24"/>
          <w:szCs w:val="24"/>
        </w:rPr>
        <w:t>g de P</w:t>
      </w:r>
      <w:r w:rsidR="00C90A15" w:rsidRPr="00BC1D4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90A15" w:rsidRPr="00BC1D43">
        <w:rPr>
          <w:rFonts w:ascii="Times New Roman" w:hAnsi="Times New Roman" w:cs="Times New Roman"/>
          <w:sz w:val="24"/>
          <w:szCs w:val="24"/>
        </w:rPr>
        <w:t>O</w:t>
      </w:r>
      <w:r w:rsidR="00C90A15" w:rsidRPr="00BC1D43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C90A15" w:rsidRPr="00BC1D43">
        <w:rPr>
          <w:rFonts w:ascii="Times New Roman" w:hAnsi="Times New Roman" w:cs="Times New Roman"/>
          <w:sz w:val="24"/>
          <w:szCs w:val="24"/>
        </w:rPr>
        <w:t>/m³</w:t>
      </w:r>
      <w:r w:rsidR="00900568" w:rsidRPr="00BC1D43">
        <w:rPr>
          <w:rFonts w:ascii="Times New Roman" w:hAnsi="Times New Roman" w:cs="Times New Roman"/>
          <w:sz w:val="24"/>
          <w:szCs w:val="24"/>
        </w:rPr>
        <w:t>, o mesmo não ocorreu para o teste de Mann-</w:t>
      </w:r>
      <w:proofErr w:type="spellStart"/>
      <w:r w:rsidR="00900568" w:rsidRPr="00BC1D43">
        <w:rPr>
          <w:rFonts w:ascii="Times New Roman" w:hAnsi="Times New Roman" w:cs="Times New Roman"/>
          <w:sz w:val="24"/>
          <w:szCs w:val="24"/>
        </w:rPr>
        <w:t>Whytney</w:t>
      </w:r>
      <w:proofErr w:type="spellEnd"/>
      <w:r w:rsidR="00900568" w:rsidRPr="00BC1D43">
        <w:rPr>
          <w:rFonts w:ascii="Times New Roman" w:hAnsi="Times New Roman" w:cs="Times New Roman"/>
          <w:sz w:val="24"/>
          <w:szCs w:val="24"/>
        </w:rPr>
        <w:t>, não sendo considerada a diferença significativa uma vez que o teste de Mann-</w:t>
      </w:r>
      <w:proofErr w:type="spellStart"/>
      <w:r w:rsidR="00900568" w:rsidRPr="00BC1D43">
        <w:rPr>
          <w:rFonts w:ascii="Times New Roman" w:hAnsi="Times New Roman" w:cs="Times New Roman"/>
          <w:sz w:val="24"/>
          <w:szCs w:val="24"/>
        </w:rPr>
        <w:t>Whytney</w:t>
      </w:r>
      <w:proofErr w:type="spellEnd"/>
      <w:r w:rsidR="00900568" w:rsidRPr="00BC1D43">
        <w:rPr>
          <w:rFonts w:ascii="Times New Roman" w:hAnsi="Times New Roman" w:cs="Times New Roman"/>
          <w:sz w:val="24"/>
          <w:szCs w:val="24"/>
        </w:rPr>
        <w:t xml:space="preserve"> é mais representativo.</w:t>
      </w:r>
    </w:p>
    <w:p w:rsidR="004D4623" w:rsidRPr="004D4623" w:rsidRDefault="004D4623" w:rsidP="004D462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1D43">
        <w:rPr>
          <w:rFonts w:ascii="Times New Roman" w:hAnsi="Times New Roman" w:cs="Times New Roman"/>
          <w:b/>
          <w:bCs/>
          <w:sz w:val="24"/>
          <w:szCs w:val="24"/>
        </w:rPr>
        <w:t>Tabela 2</w:t>
      </w:r>
      <w:r w:rsidRPr="00BC1D43">
        <w:rPr>
          <w:rFonts w:ascii="Times New Roman" w:hAnsi="Times New Roman" w:cs="Times New Roman"/>
          <w:sz w:val="24"/>
          <w:szCs w:val="24"/>
        </w:rPr>
        <w:t xml:space="preserve"> – Média e desvio-padrão de Índice de Qualidade de </w:t>
      </w:r>
      <w:proofErr w:type="spellStart"/>
      <w:r w:rsidRPr="00BC1D43">
        <w:rPr>
          <w:rFonts w:ascii="Times New Roman" w:hAnsi="Times New Roman" w:cs="Times New Roman"/>
          <w:sz w:val="24"/>
          <w:szCs w:val="24"/>
        </w:rPr>
        <w:t>Dickson</w:t>
      </w:r>
      <w:proofErr w:type="spellEnd"/>
      <w:r w:rsidRPr="00BC1D43">
        <w:rPr>
          <w:rFonts w:ascii="Times New Roman" w:hAnsi="Times New Roman" w:cs="Times New Roman"/>
          <w:sz w:val="24"/>
          <w:szCs w:val="24"/>
        </w:rPr>
        <w:t xml:space="preserve"> para os diferentes recipientes em cada concentração de P</w:t>
      </w:r>
      <w:r w:rsidRPr="00BC1D4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C1D43">
        <w:rPr>
          <w:rFonts w:ascii="Times New Roman" w:hAnsi="Times New Roman" w:cs="Times New Roman"/>
          <w:sz w:val="24"/>
          <w:szCs w:val="24"/>
        </w:rPr>
        <w:t>O</w:t>
      </w:r>
      <w:r w:rsidRPr="00BC1D43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BC1D43">
        <w:rPr>
          <w:rFonts w:ascii="Times New Roman" w:hAnsi="Times New Roman" w:cs="Times New Roman"/>
          <w:sz w:val="24"/>
          <w:szCs w:val="24"/>
        </w:rPr>
        <w:t xml:space="preserve"> para </w:t>
      </w:r>
      <w:r w:rsidRPr="00BC1D43">
        <w:rPr>
          <w:rFonts w:ascii="Times New Roman" w:hAnsi="Times New Roman" w:cs="Times New Roman"/>
          <w:i/>
          <w:iCs/>
          <w:sz w:val="24"/>
          <w:szCs w:val="24"/>
        </w:rPr>
        <w:t xml:space="preserve">Ceiba </w:t>
      </w:r>
      <w:proofErr w:type="spellStart"/>
      <w:r w:rsidRPr="00BC1D43">
        <w:rPr>
          <w:rFonts w:ascii="Times New Roman" w:hAnsi="Times New Roman" w:cs="Times New Roman"/>
          <w:i/>
          <w:iCs/>
          <w:sz w:val="24"/>
          <w:szCs w:val="24"/>
        </w:rPr>
        <w:t>speciosa</w:t>
      </w:r>
      <w:proofErr w:type="spellEnd"/>
      <w:r w:rsidRPr="00BC1D43">
        <w:rPr>
          <w:rFonts w:ascii="Times New Roman" w:hAnsi="Times New Roman" w:cs="Times New Roman"/>
          <w:sz w:val="24"/>
          <w:szCs w:val="24"/>
        </w:rPr>
        <w:t xml:space="preserve"> (A. </w:t>
      </w:r>
      <w:proofErr w:type="gramStart"/>
      <w:r w:rsidRPr="00BC1D43">
        <w:rPr>
          <w:rFonts w:ascii="Times New Roman" w:hAnsi="Times New Roman" w:cs="Times New Roman"/>
          <w:sz w:val="24"/>
          <w:szCs w:val="24"/>
        </w:rPr>
        <w:t>St.</w:t>
      </w:r>
      <w:proofErr w:type="gramEnd"/>
      <w:r w:rsidRPr="00BC1D43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BC1D43">
        <w:rPr>
          <w:rFonts w:ascii="Times New Roman" w:hAnsi="Times New Roman" w:cs="Times New Roman"/>
          <w:sz w:val="24"/>
          <w:szCs w:val="24"/>
        </w:rPr>
        <w:t>Hil</w:t>
      </w:r>
      <w:proofErr w:type="spellEnd"/>
      <w:r w:rsidRPr="00BC1D43">
        <w:rPr>
          <w:rFonts w:ascii="Times New Roman" w:hAnsi="Times New Roman" w:cs="Times New Roman"/>
          <w:sz w:val="24"/>
          <w:szCs w:val="24"/>
        </w:rPr>
        <w:t xml:space="preserve">.) </w:t>
      </w:r>
      <w:r w:rsidRPr="00BC1D43">
        <w:rPr>
          <w:rFonts w:ascii="Times New Roman" w:hAnsi="Times New Roman" w:cs="Times New Roman"/>
          <w:sz w:val="24"/>
          <w:szCs w:val="24"/>
          <w:lang w:val="en-US"/>
        </w:rPr>
        <w:t>Ravenna.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1275"/>
        <w:gridCol w:w="1276"/>
        <w:gridCol w:w="1843"/>
        <w:gridCol w:w="2551"/>
      </w:tblGrid>
      <w:tr w:rsidR="00FF53BF" w:rsidRPr="00FF53BF" w:rsidTr="00504CC1">
        <w:trPr>
          <w:trHeight w:val="315"/>
        </w:trPr>
        <w:tc>
          <w:tcPr>
            <w:tcW w:w="270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F53BF" w:rsidRPr="00FF53BF" w:rsidRDefault="00FF53BF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5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Concentração de P</w:t>
            </w:r>
            <w:r w:rsidRPr="00FF5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pt-BR"/>
              </w:rPr>
              <w:t>2</w:t>
            </w:r>
            <w:r w:rsidRPr="00FF5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</w:t>
            </w:r>
            <w:r w:rsidRPr="00FF5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pt-BR"/>
              </w:rPr>
              <w:t>5</w:t>
            </w:r>
            <w:r w:rsidRPr="00FF5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(g/m³)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BF" w:rsidRPr="00FF53BF" w:rsidRDefault="00FF53BF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5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Recipiente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F53BF" w:rsidRPr="00FF53BF" w:rsidRDefault="00FF53BF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5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 (p-valor)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F53BF" w:rsidRPr="00FF53BF" w:rsidRDefault="00FF53BF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5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Teste Mann-</w:t>
            </w:r>
            <w:proofErr w:type="spellStart"/>
            <w:r w:rsidRPr="00FF5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Whytney</w:t>
            </w:r>
            <w:proofErr w:type="spellEnd"/>
          </w:p>
        </w:tc>
      </w:tr>
      <w:tr w:rsidR="00FF53BF" w:rsidRPr="00FF53BF" w:rsidTr="00504CC1">
        <w:trPr>
          <w:trHeight w:val="315"/>
        </w:trPr>
        <w:tc>
          <w:tcPr>
            <w:tcW w:w="2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F53BF" w:rsidRPr="00FF53BF" w:rsidRDefault="00FF53BF" w:rsidP="00504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53BF" w:rsidRPr="00FF53BF" w:rsidRDefault="00FF53BF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5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120 cm³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53BF" w:rsidRPr="00FF53BF" w:rsidRDefault="00FF53BF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5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56 cm³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F53BF" w:rsidRPr="00FF53BF" w:rsidRDefault="00FF53BF" w:rsidP="00504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F53BF" w:rsidRPr="00FF53BF" w:rsidRDefault="00FF53BF" w:rsidP="00504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FF53BF" w:rsidRPr="00FF53BF" w:rsidTr="00504CC1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BF" w:rsidRPr="00FF53BF" w:rsidRDefault="00FF53BF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F53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BF" w:rsidRPr="00FF53BF" w:rsidRDefault="00FF53BF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F53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0,31 (0,14)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BF" w:rsidRPr="00FF53BF" w:rsidRDefault="00FF53BF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F53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0,12 (0,04)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BF" w:rsidRPr="00FF53BF" w:rsidRDefault="00FF53BF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F53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2,890 (0,020)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53BF" w:rsidRPr="00FF53BF" w:rsidRDefault="00FF53BF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F53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0,032</w:t>
            </w:r>
          </w:p>
        </w:tc>
      </w:tr>
      <w:tr w:rsidR="00FF53BF" w:rsidRPr="00FF53BF" w:rsidTr="00504CC1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BF" w:rsidRPr="00FF53BF" w:rsidRDefault="00FF53BF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F53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BF" w:rsidRPr="00FF53BF" w:rsidRDefault="00FF53BF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F53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0,22 (0,06)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BF" w:rsidRPr="00FF53BF" w:rsidRDefault="00FF53BF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F53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0,13 (0,02)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BF" w:rsidRPr="00FF53BF" w:rsidRDefault="00FF53BF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F53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3,170 (0,013)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53BF" w:rsidRPr="00FF53BF" w:rsidRDefault="00FF53BF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F53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0,095</w:t>
            </w:r>
          </w:p>
        </w:tc>
      </w:tr>
      <w:tr w:rsidR="00FF53BF" w:rsidRPr="00FF53BF" w:rsidTr="00504CC1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BF" w:rsidRPr="00FF53BF" w:rsidRDefault="00FF53BF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F53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BF" w:rsidRPr="00FF53BF" w:rsidRDefault="00FF53BF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F53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0,16 (0,07)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BF" w:rsidRPr="00FF53BF" w:rsidRDefault="00FF53BF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F53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0,12 (0,03)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BF" w:rsidRPr="00FF53BF" w:rsidRDefault="00FF53BF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F53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1,085 (0,326)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53BF" w:rsidRPr="00FF53BF" w:rsidRDefault="00FF53BF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F53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0,69</w:t>
            </w:r>
          </w:p>
        </w:tc>
      </w:tr>
      <w:tr w:rsidR="00FF53BF" w:rsidRPr="00FF53BF" w:rsidTr="00504CC1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BF" w:rsidRPr="00FF53BF" w:rsidRDefault="00FF53BF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F53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BF" w:rsidRPr="00FF53BF" w:rsidRDefault="00FF53BF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F53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0,32 (0,04)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BF" w:rsidRPr="00FF53BF" w:rsidRDefault="00FF53BF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F53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0,08 (0,01)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BF" w:rsidRPr="00FF53BF" w:rsidRDefault="00FF53BF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F53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14,171 (&lt;0,001)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53BF" w:rsidRPr="00FF53BF" w:rsidRDefault="00FF53BF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F53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0,008</w:t>
            </w:r>
          </w:p>
        </w:tc>
      </w:tr>
      <w:tr w:rsidR="00FF53BF" w:rsidRPr="00FF53BF" w:rsidTr="00504CC1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53BF" w:rsidRPr="00FF53BF" w:rsidRDefault="00FF53BF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F53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53BF" w:rsidRPr="00FF53BF" w:rsidRDefault="00FF53BF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F53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0,27 (0,08)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53BF" w:rsidRPr="00FF53BF" w:rsidRDefault="00FF53BF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F53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0,08 (0,02)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53BF" w:rsidRPr="00FF53BF" w:rsidRDefault="00FF53BF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F53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5,449 (0,004)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F53BF" w:rsidRPr="00FF53BF" w:rsidRDefault="00FF53BF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F53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0,008</w:t>
            </w:r>
          </w:p>
        </w:tc>
      </w:tr>
    </w:tbl>
    <w:p w:rsidR="004B1BCB" w:rsidRPr="00BC1D43" w:rsidRDefault="00900568" w:rsidP="00BC1D43">
      <w:pPr>
        <w:spacing w:before="20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D43">
        <w:rPr>
          <w:rFonts w:ascii="Times New Roman" w:hAnsi="Times New Roman" w:cs="Times New Roman"/>
          <w:sz w:val="24"/>
          <w:szCs w:val="24"/>
        </w:rPr>
        <w:tab/>
        <w:t xml:space="preserve">Com relação à </w:t>
      </w:r>
      <w:r w:rsidRPr="00BC1D43">
        <w:rPr>
          <w:rFonts w:ascii="Times New Roman" w:hAnsi="Times New Roman" w:cs="Times New Roman"/>
          <w:i/>
          <w:sz w:val="24"/>
          <w:szCs w:val="24"/>
        </w:rPr>
        <w:t>G</w:t>
      </w:r>
      <w:r w:rsidR="00311394" w:rsidRPr="00BC1D43">
        <w:rPr>
          <w:rFonts w:ascii="Times New Roman" w:hAnsi="Times New Roman" w:cs="Times New Roman"/>
          <w:i/>
          <w:sz w:val="24"/>
          <w:szCs w:val="24"/>
        </w:rPr>
        <w:t>.</w:t>
      </w:r>
      <w:r w:rsidRPr="00BC1D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1D43">
        <w:rPr>
          <w:rFonts w:ascii="Times New Roman" w:hAnsi="Times New Roman" w:cs="Times New Roman"/>
          <w:i/>
          <w:sz w:val="24"/>
          <w:szCs w:val="24"/>
        </w:rPr>
        <w:t>ulmifolia</w:t>
      </w:r>
      <w:proofErr w:type="spellEnd"/>
      <w:r w:rsidRPr="00BC1D43">
        <w:rPr>
          <w:rFonts w:ascii="Times New Roman" w:hAnsi="Times New Roman" w:cs="Times New Roman"/>
          <w:sz w:val="24"/>
          <w:szCs w:val="24"/>
        </w:rPr>
        <w:t xml:space="preserve">, </w:t>
      </w:r>
      <w:r w:rsidR="00CA22AA" w:rsidRPr="00BC1D43">
        <w:rPr>
          <w:rFonts w:ascii="Times New Roman" w:hAnsi="Times New Roman" w:cs="Times New Roman"/>
          <w:sz w:val="24"/>
          <w:szCs w:val="24"/>
        </w:rPr>
        <w:t>as concentrações com 180, 360, 540 e 900 g de P</w:t>
      </w:r>
      <w:r w:rsidR="00CA22AA" w:rsidRPr="00BC1D4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A22AA" w:rsidRPr="00BC1D43">
        <w:rPr>
          <w:rFonts w:ascii="Times New Roman" w:hAnsi="Times New Roman" w:cs="Times New Roman"/>
          <w:sz w:val="24"/>
          <w:szCs w:val="24"/>
        </w:rPr>
        <w:t>O</w:t>
      </w:r>
      <w:r w:rsidR="00CA22AA" w:rsidRPr="00BC1D43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CA22AA" w:rsidRPr="00BC1D43">
        <w:rPr>
          <w:rFonts w:ascii="Times New Roman" w:hAnsi="Times New Roman" w:cs="Times New Roman"/>
          <w:sz w:val="24"/>
          <w:szCs w:val="24"/>
        </w:rPr>
        <w:t xml:space="preserve">/m³ não diferiram estatisticamente entre si e </w:t>
      </w:r>
      <w:r w:rsidRPr="00BC1D43">
        <w:rPr>
          <w:rFonts w:ascii="Times New Roman" w:hAnsi="Times New Roman" w:cs="Times New Roman"/>
          <w:sz w:val="24"/>
          <w:szCs w:val="24"/>
        </w:rPr>
        <w:t xml:space="preserve">apenas a concentração de 720 </w:t>
      </w:r>
      <w:r w:rsidR="00C90A15" w:rsidRPr="00BC1D43">
        <w:rPr>
          <w:rFonts w:ascii="Times New Roman" w:hAnsi="Times New Roman" w:cs="Times New Roman"/>
          <w:sz w:val="24"/>
          <w:szCs w:val="24"/>
        </w:rPr>
        <w:t>g de P</w:t>
      </w:r>
      <w:r w:rsidR="00C90A15" w:rsidRPr="00BC1D4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90A15" w:rsidRPr="00BC1D43">
        <w:rPr>
          <w:rFonts w:ascii="Times New Roman" w:hAnsi="Times New Roman" w:cs="Times New Roman"/>
          <w:sz w:val="24"/>
          <w:szCs w:val="24"/>
        </w:rPr>
        <w:t>O</w:t>
      </w:r>
      <w:r w:rsidR="00C90A15" w:rsidRPr="00BC1D43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C90A15" w:rsidRPr="00BC1D43">
        <w:rPr>
          <w:rFonts w:ascii="Times New Roman" w:hAnsi="Times New Roman" w:cs="Times New Roman"/>
          <w:sz w:val="24"/>
          <w:szCs w:val="24"/>
        </w:rPr>
        <w:t>/m³</w:t>
      </w:r>
      <w:r w:rsidRPr="00BC1D43">
        <w:rPr>
          <w:rFonts w:ascii="Times New Roman" w:hAnsi="Times New Roman" w:cs="Times New Roman"/>
          <w:sz w:val="24"/>
          <w:szCs w:val="24"/>
        </w:rPr>
        <w:t xml:space="preserve"> apres</w:t>
      </w:r>
      <w:r w:rsidR="00CA22AA" w:rsidRPr="00BC1D43">
        <w:rPr>
          <w:rFonts w:ascii="Times New Roman" w:hAnsi="Times New Roman" w:cs="Times New Roman"/>
          <w:sz w:val="24"/>
          <w:szCs w:val="24"/>
        </w:rPr>
        <w:t>entou-se adequado a indicar o recipiente ótimo de produção. Para a concentração de 720 g de P</w:t>
      </w:r>
      <w:r w:rsidR="00CA22AA" w:rsidRPr="00BC1D4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A22AA" w:rsidRPr="00BC1D43">
        <w:rPr>
          <w:rFonts w:ascii="Times New Roman" w:hAnsi="Times New Roman" w:cs="Times New Roman"/>
          <w:sz w:val="24"/>
          <w:szCs w:val="24"/>
        </w:rPr>
        <w:t>O</w:t>
      </w:r>
      <w:r w:rsidR="00CA22AA" w:rsidRPr="00BC1D43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CA22AA" w:rsidRPr="00BC1D43">
        <w:rPr>
          <w:rFonts w:ascii="Times New Roman" w:hAnsi="Times New Roman" w:cs="Times New Roman"/>
          <w:sz w:val="24"/>
          <w:szCs w:val="24"/>
        </w:rPr>
        <w:t>/m³, o maior IDQ foi observado quando da utilização dos tubetes de 120 cm³ para a produção de mudas. À</w:t>
      </w:r>
      <w:r w:rsidRPr="00BC1D43">
        <w:rPr>
          <w:rFonts w:ascii="Times New Roman" w:hAnsi="Times New Roman" w:cs="Times New Roman"/>
          <w:sz w:val="24"/>
          <w:szCs w:val="24"/>
        </w:rPr>
        <w:t xml:space="preserve"> semelhança de </w:t>
      </w:r>
      <w:r w:rsidR="00311394" w:rsidRPr="00BC1D43">
        <w:rPr>
          <w:rFonts w:ascii="Times New Roman" w:hAnsi="Times New Roman" w:cs="Times New Roman"/>
          <w:i/>
          <w:sz w:val="24"/>
          <w:szCs w:val="24"/>
        </w:rPr>
        <w:t>C.</w:t>
      </w:r>
      <w:r w:rsidRPr="00BC1D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1D43">
        <w:rPr>
          <w:rFonts w:ascii="Times New Roman" w:hAnsi="Times New Roman" w:cs="Times New Roman"/>
          <w:i/>
          <w:sz w:val="24"/>
          <w:szCs w:val="24"/>
        </w:rPr>
        <w:t>speciosa</w:t>
      </w:r>
      <w:proofErr w:type="spellEnd"/>
      <w:r w:rsidRPr="00BC1D43">
        <w:rPr>
          <w:rFonts w:ascii="Times New Roman" w:hAnsi="Times New Roman" w:cs="Times New Roman"/>
          <w:i/>
          <w:sz w:val="24"/>
          <w:szCs w:val="24"/>
        </w:rPr>
        <w:t>,</w:t>
      </w:r>
      <w:r w:rsidRPr="00BC1D43">
        <w:rPr>
          <w:rFonts w:ascii="Times New Roman" w:hAnsi="Times New Roman" w:cs="Times New Roman"/>
          <w:sz w:val="24"/>
          <w:szCs w:val="24"/>
        </w:rPr>
        <w:t xml:space="preserve"> </w:t>
      </w:r>
      <w:r w:rsidR="00607703" w:rsidRPr="00BC1D43">
        <w:rPr>
          <w:rFonts w:ascii="Times New Roman" w:hAnsi="Times New Roman" w:cs="Times New Roman"/>
          <w:sz w:val="24"/>
          <w:szCs w:val="24"/>
        </w:rPr>
        <w:t xml:space="preserve">a concentração de 360 </w:t>
      </w:r>
      <w:r w:rsidR="00C90A15" w:rsidRPr="00BC1D43">
        <w:rPr>
          <w:rFonts w:ascii="Times New Roman" w:hAnsi="Times New Roman" w:cs="Times New Roman"/>
          <w:sz w:val="24"/>
          <w:szCs w:val="24"/>
        </w:rPr>
        <w:t>g de P</w:t>
      </w:r>
      <w:r w:rsidR="00C90A15" w:rsidRPr="00BC1D4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90A15" w:rsidRPr="00BC1D43">
        <w:rPr>
          <w:rFonts w:ascii="Times New Roman" w:hAnsi="Times New Roman" w:cs="Times New Roman"/>
          <w:sz w:val="24"/>
          <w:szCs w:val="24"/>
        </w:rPr>
        <w:t>O</w:t>
      </w:r>
      <w:r w:rsidR="00C90A15" w:rsidRPr="00BC1D43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C90A15" w:rsidRPr="00BC1D43">
        <w:rPr>
          <w:rFonts w:ascii="Times New Roman" w:hAnsi="Times New Roman" w:cs="Times New Roman"/>
          <w:sz w:val="24"/>
          <w:szCs w:val="24"/>
        </w:rPr>
        <w:t>/m³</w:t>
      </w:r>
      <w:r w:rsidR="00607703" w:rsidRPr="00BC1D43">
        <w:rPr>
          <w:rFonts w:ascii="Times New Roman" w:hAnsi="Times New Roman" w:cs="Times New Roman"/>
          <w:sz w:val="24"/>
          <w:szCs w:val="24"/>
        </w:rPr>
        <w:t xml:space="preserve"> não é considerada </w:t>
      </w:r>
      <w:r w:rsidR="00A526F3" w:rsidRPr="00BC1D43">
        <w:rPr>
          <w:rFonts w:ascii="Times New Roman" w:hAnsi="Times New Roman" w:cs="Times New Roman"/>
          <w:sz w:val="24"/>
          <w:szCs w:val="24"/>
        </w:rPr>
        <w:t xml:space="preserve">uma vez que </w:t>
      </w:r>
      <w:r w:rsidR="00607703" w:rsidRPr="00BC1D43">
        <w:rPr>
          <w:rFonts w:ascii="Times New Roman" w:hAnsi="Times New Roman" w:cs="Times New Roman"/>
          <w:sz w:val="24"/>
          <w:szCs w:val="24"/>
        </w:rPr>
        <w:t xml:space="preserve">apenas </w:t>
      </w:r>
      <w:r w:rsidR="00D10922" w:rsidRPr="00BC1D43">
        <w:rPr>
          <w:rFonts w:ascii="Times New Roman" w:hAnsi="Times New Roman" w:cs="Times New Roman"/>
          <w:sz w:val="24"/>
          <w:szCs w:val="24"/>
        </w:rPr>
        <w:t>o teste t demonstrou diferença.</w:t>
      </w:r>
    </w:p>
    <w:p w:rsidR="004D4623" w:rsidRPr="00BC1D43" w:rsidRDefault="004D4623" w:rsidP="004D462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D43">
        <w:rPr>
          <w:rFonts w:ascii="Times New Roman" w:hAnsi="Times New Roman" w:cs="Times New Roman"/>
          <w:b/>
          <w:bCs/>
          <w:sz w:val="24"/>
          <w:szCs w:val="24"/>
        </w:rPr>
        <w:t>Tabela 3 –</w:t>
      </w:r>
      <w:r w:rsidRPr="00BC1D43">
        <w:rPr>
          <w:rFonts w:ascii="Times New Roman" w:hAnsi="Times New Roman" w:cs="Times New Roman"/>
          <w:sz w:val="24"/>
          <w:szCs w:val="24"/>
        </w:rPr>
        <w:t xml:space="preserve"> Média e desvio-padrão de Índice de Qualidade de </w:t>
      </w:r>
      <w:proofErr w:type="spellStart"/>
      <w:r w:rsidRPr="00BC1D43">
        <w:rPr>
          <w:rFonts w:ascii="Times New Roman" w:hAnsi="Times New Roman" w:cs="Times New Roman"/>
          <w:sz w:val="24"/>
          <w:szCs w:val="24"/>
        </w:rPr>
        <w:t>Dickson</w:t>
      </w:r>
      <w:proofErr w:type="spellEnd"/>
      <w:r w:rsidRPr="00BC1D43">
        <w:rPr>
          <w:rFonts w:ascii="Times New Roman" w:hAnsi="Times New Roman" w:cs="Times New Roman"/>
          <w:sz w:val="24"/>
          <w:szCs w:val="24"/>
        </w:rPr>
        <w:t xml:space="preserve"> para os diferentes recipientes em cada concentração de P</w:t>
      </w:r>
      <w:r w:rsidRPr="00BC1D4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C1D43">
        <w:rPr>
          <w:rFonts w:ascii="Times New Roman" w:hAnsi="Times New Roman" w:cs="Times New Roman"/>
          <w:sz w:val="24"/>
          <w:szCs w:val="24"/>
        </w:rPr>
        <w:t>O</w:t>
      </w:r>
      <w:r w:rsidRPr="00BC1D43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BC1D43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BC1D43">
        <w:rPr>
          <w:rFonts w:ascii="Times New Roman" w:hAnsi="Times New Roman" w:cs="Times New Roman"/>
          <w:i/>
          <w:iCs/>
          <w:sz w:val="24"/>
          <w:szCs w:val="24"/>
        </w:rPr>
        <w:t>Guazuma</w:t>
      </w:r>
      <w:proofErr w:type="spellEnd"/>
      <w:r w:rsidRPr="00BC1D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1D43">
        <w:rPr>
          <w:rFonts w:ascii="Times New Roman" w:hAnsi="Times New Roman" w:cs="Times New Roman"/>
          <w:i/>
          <w:iCs/>
          <w:sz w:val="24"/>
          <w:szCs w:val="24"/>
        </w:rPr>
        <w:t>ulmifolia</w:t>
      </w:r>
      <w:proofErr w:type="spellEnd"/>
      <w:r w:rsidRPr="00BC1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D43">
        <w:rPr>
          <w:rFonts w:ascii="Times New Roman" w:hAnsi="Times New Roman" w:cs="Times New Roman"/>
          <w:sz w:val="24"/>
          <w:szCs w:val="24"/>
        </w:rPr>
        <w:t>Lam</w:t>
      </w:r>
      <w:proofErr w:type="spellEnd"/>
      <w:r w:rsidRPr="00BC1D4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2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1276"/>
        <w:gridCol w:w="1275"/>
        <w:gridCol w:w="1660"/>
        <w:gridCol w:w="2493"/>
      </w:tblGrid>
      <w:tr w:rsidR="00D10922" w:rsidRPr="00D10922" w:rsidTr="00504CC1">
        <w:trPr>
          <w:trHeight w:val="315"/>
        </w:trPr>
        <w:tc>
          <w:tcPr>
            <w:tcW w:w="256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Concentração de P</w:t>
            </w:r>
            <w:r w:rsidRPr="00D109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pt-BR"/>
              </w:rPr>
              <w:t>2</w:t>
            </w:r>
            <w:r w:rsidRPr="00D109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</w:t>
            </w:r>
            <w:r w:rsidRPr="00D109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pt-BR"/>
              </w:rPr>
              <w:t>5</w:t>
            </w:r>
            <w:r w:rsidRPr="00D109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(g/m³)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Recipiente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 (p-valor)</w:t>
            </w:r>
          </w:p>
        </w:tc>
        <w:tc>
          <w:tcPr>
            <w:tcW w:w="249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Teste Mann-</w:t>
            </w:r>
            <w:proofErr w:type="spellStart"/>
            <w:r w:rsidRPr="00D109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Whytney</w:t>
            </w:r>
            <w:proofErr w:type="spellEnd"/>
          </w:p>
        </w:tc>
      </w:tr>
      <w:tr w:rsidR="00D10922" w:rsidRPr="00D10922" w:rsidTr="00504CC1">
        <w:trPr>
          <w:trHeight w:val="315"/>
        </w:trPr>
        <w:tc>
          <w:tcPr>
            <w:tcW w:w="256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10922" w:rsidRPr="00D10922" w:rsidRDefault="00D10922" w:rsidP="00504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120 cm³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56 cm³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10922" w:rsidRPr="00D10922" w:rsidRDefault="00D10922" w:rsidP="00504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49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10922" w:rsidRPr="00D10922" w:rsidRDefault="00D10922" w:rsidP="00504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D10922" w:rsidRPr="00D10922" w:rsidTr="00504CC1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0,31 (0,11)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0,18 (0,07)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2,252 (0,054)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0,095</w:t>
            </w:r>
          </w:p>
        </w:tc>
      </w:tr>
      <w:tr w:rsidR="00D10922" w:rsidRPr="00D10922" w:rsidTr="00504CC1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0,36 (0,04)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0,25 (0,09)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2,383 (0,044)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0,151</w:t>
            </w:r>
          </w:p>
        </w:tc>
      </w:tr>
      <w:tr w:rsidR="00D10922" w:rsidRPr="00D10922" w:rsidTr="00504CC1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0,35 (0,07)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0,29 (0,09)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1,214 (0,260)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0,310</w:t>
            </w:r>
          </w:p>
        </w:tc>
      </w:tr>
      <w:tr w:rsidR="00D10922" w:rsidRPr="00D10922" w:rsidTr="00504CC1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0,34 (0,12)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0,22 (0,05)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2,130 (0,066)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0,016</w:t>
            </w:r>
          </w:p>
        </w:tc>
      </w:tr>
      <w:tr w:rsidR="00D10922" w:rsidRPr="00D10922" w:rsidTr="00504CC1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0,29 (0,16)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0,29 (0,10)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0,049 (0,962)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0,841</w:t>
            </w:r>
          </w:p>
        </w:tc>
      </w:tr>
    </w:tbl>
    <w:p w:rsidR="004B1BCB" w:rsidRPr="00BC1D43" w:rsidRDefault="00D90B90" w:rsidP="00BC1D43">
      <w:pPr>
        <w:spacing w:before="200" w:line="48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C1D43">
        <w:rPr>
          <w:rFonts w:ascii="Times New Roman" w:hAnsi="Times New Roman" w:cs="Times New Roman"/>
          <w:sz w:val="24"/>
          <w:szCs w:val="24"/>
        </w:rPr>
        <w:tab/>
        <w:t xml:space="preserve">Para </w:t>
      </w:r>
      <w:r w:rsidRPr="00BC1D43">
        <w:rPr>
          <w:rFonts w:ascii="Times New Roman" w:hAnsi="Times New Roman" w:cs="Times New Roman"/>
          <w:bCs/>
          <w:i/>
          <w:iCs/>
          <w:sz w:val="24"/>
          <w:szCs w:val="24"/>
        </w:rPr>
        <w:t>S</w:t>
      </w:r>
      <w:r w:rsidR="00311394" w:rsidRPr="00BC1D43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Pr="00BC1D4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C1D43">
        <w:rPr>
          <w:rFonts w:ascii="Times New Roman" w:hAnsi="Times New Roman" w:cs="Times New Roman"/>
          <w:bCs/>
          <w:i/>
          <w:iCs/>
          <w:sz w:val="24"/>
          <w:szCs w:val="24"/>
        </w:rPr>
        <w:t>terebinthifolius</w:t>
      </w:r>
      <w:proofErr w:type="spellEnd"/>
      <w:r w:rsidRPr="00BC1D43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BC1D43">
        <w:rPr>
          <w:rFonts w:ascii="Times New Roman" w:hAnsi="Times New Roman" w:cs="Times New Roman"/>
          <w:bCs/>
          <w:iCs/>
          <w:sz w:val="24"/>
          <w:szCs w:val="24"/>
        </w:rPr>
        <w:t xml:space="preserve"> assim como para as demais espécies avaliadas, foram alcançados pontos de máximo IQD quando da utilização dos tubetes de 120 cm³, considerando o nível de significância adotado.</w:t>
      </w:r>
      <w:r w:rsidR="00A0748A" w:rsidRPr="00BC1D43">
        <w:rPr>
          <w:rFonts w:ascii="Times New Roman" w:hAnsi="Times New Roman" w:cs="Times New Roman"/>
          <w:bCs/>
          <w:iCs/>
          <w:sz w:val="24"/>
          <w:szCs w:val="24"/>
        </w:rPr>
        <w:t xml:space="preserve"> Nota-se que, para essa espécie, houve diferença significativa para as concentrações com 180, 360 e 540 </w:t>
      </w:r>
      <w:r w:rsidR="00C90A15" w:rsidRPr="00BC1D43">
        <w:rPr>
          <w:rFonts w:ascii="Times New Roman" w:hAnsi="Times New Roman" w:cs="Times New Roman"/>
          <w:sz w:val="24"/>
          <w:szCs w:val="24"/>
        </w:rPr>
        <w:t>g de P</w:t>
      </w:r>
      <w:r w:rsidR="00C90A15" w:rsidRPr="00BC1D4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90A15" w:rsidRPr="00BC1D43">
        <w:rPr>
          <w:rFonts w:ascii="Times New Roman" w:hAnsi="Times New Roman" w:cs="Times New Roman"/>
          <w:sz w:val="24"/>
          <w:szCs w:val="24"/>
        </w:rPr>
        <w:t>O</w:t>
      </w:r>
      <w:r w:rsidR="00C90A15" w:rsidRPr="00BC1D43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C90A15" w:rsidRPr="00BC1D43">
        <w:rPr>
          <w:rFonts w:ascii="Times New Roman" w:hAnsi="Times New Roman" w:cs="Times New Roman"/>
          <w:sz w:val="24"/>
          <w:szCs w:val="24"/>
        </w:rPr>
        <w:t>/m³</w:t>
      </w:r>
      <w:r w:rsidR="005C1B9C" w:rsidRPr="00BC1D43">
        <w:rPr>
          <w:rFonts w:ascii="Times New Roman" w:hAnsi="Times New Roman" w:cs="Times New Roman"/>
          <w:bCs/>
          <w:iCs/>
          <w:sz w:val="24"/>
          <w:szCs w:val="24"/>
        </w:rPr>
        <w:t xml:space="preserve">. Desse modo, assim como ocorrido com </w:t>
      </w:r>
      <w:r w:rsidR="005C1B9C" w:rsidRPr="00BC1D43">
        <w:rPr>
          <w:rFonts w:ascii="Times New Roman" w:hAnsi="Times New Roman" w:cs="Times New Roman"/>
          <w:bCs/>
          <w:i/>
          <w:iCs/>
          <w:sz w:val="24"/>
          <w:szCs w:val="24"/>
        </w:rPr>
        <w:t>C</w:t>
      </w:r>
      <w:r w:rsidR="00311394" w:rsidRPr="00BC1D43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="005C1B9C" w:rsidRPr="00BC1D4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5C1B9C" w:rsidRPr="00BC1D43">
        <w:rPr>
          <w:rFonts w:ascii="Times New Roman" w:hAnsi="Times New Roman" w:cs="Times New Roman"/>
          <w:bCs/>
          <w:i/>
          <w:iCs/>
          <w:sz w:val="24"/>
          <w:szCs w:val="24"/>
        </w:rPr>
        <w:t>speciosa</w:t>
      </w:r>
      <w:proofErr w:type="spellEnd"/>
      <w:r w:rsidR="005C1B9C" w:rsidRPr="00BC1D43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4F5448" w:rsidRPr="00BC1D43">
        <w:rPr>
          <w:rFonts w:ascii="Times New Roman" w:hAnsi="Times New Roman" w:cs="Times New Roman"/>
          <w:bCs/>
          <w:iCs/>
          <w:sz w:val="24"/>
          <w:szCs w:val="24"/>
        </w:rPr>
        <w:t xml:space="preserve"> a adição de </w:t>
      </w:r>
      <w:r w:rsidR="00F431E8" w:rsidRPr="00BC1D43">
        <w:rPr>
          <w:rFonts w:ascii="Times New Roman" w:hAnsi="Times New Roman" w:cs="Times New Roman"/>
          <w:bCs/>
          <w:iCs/>
          <w:sz w:val="24"/>
          <w:szCs w:val="24"/>
        </w:rPr>
        <w:t xml:space="preserve">menor concentração </w:t>
      </w:r>
      <w:r w:rsidR="004F5448" w:rsidRPr="00BC1D43">
        <w:rPr>
          <w:rFonts w:ascii="Times New Roman" w:hAnsi="Times New Roman" w:cs="Times New Roman"/>
          <w:bCs/>
          <w:iCs/>
          <w:sz w:val="24"/>
          <w:szCs w:val="24"/>
        </w:rPr>
        <w:t xml:space="preserve">de </w:t>
      </w:r>
      <w:r w:rsidR="00F431E8" w:rsidRPr="00BC1D43">
        <w:rPr>
          <w:rFonts w:ascii="Times New Roman" w:hAnsi="Times New Roman" w:cs="Times New Roman"/>
          <w:bCs/>
          <w:iCs/>
          <w:sz w:val="24"/>
          <w:szCs w:val="24"/>
        </w:rPr>
        <w:t>P</w:t>
      </w:r>
      <w:r w:rsidR="00F431E8" w:rsidRPr="00BC1D43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>2</w:t>
      </w:r>
      <w:r w:rsidR="00F431E8" w:rsidRPr="00BC1D43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F431E8" w:rsidRPr="00BC1D43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>5</w:t>
      </w:r>
      <w:r w:rsidR="00F431E8" w:rsidRPr="00BC1D43">
        <w:rPr>
          <w:rFonts w:ascii="Times New Roman" w:hAnsi="Times New Roman" w:cs="Times New Roman"/>
          <w:bCs/>
          <w:iCs/>
          <w:sz w:val="24"/>
          <w:szCs w:val="24"/>
        </w:rPr>
        <w:t>/m³ de substrato</w:t>
      </w:r>
      <w:r w:rsidR="004F5448" w:rsidRPr="00BC1D43">
        <w:rPr>
          <w:rFonts w:ascii="Times New Roman" w:hAnsi="Times New Roman" w:cs="Times New Roman"/>
          <w:bCs/>
          <w:iCs/>
          <w:sz w:val="24"/>
          <w:szCs w:val="24"/>
        </w:rPr>
        <w:t xml:space="preserve"> foi suficiente para </w:t>
      </w:r>
      <w:r w:rsidR="00856794" w:rsidRPr="00BC1D43">
        <w:rPr>
          <w:rFonts w:ascii="Times New Roman" w:hAnsi="Times New Roman" w:cs="Times New Roman"/>
          <w:bCs/>
          <w:iCs/>
          <w:sz w:val="24"/>
          <w:szCs w:val="24"/>
        </w:rPr>
        <w:t xml:space="preserve">indicar o volume do recipiente </w:t>
      </w:r>
      <w:r w:rsidR="0016638C" w:rsidRPr="00BC1D43">
        <w:rPr>
          <w:rFonts w:ascii="Times New Roman" w:hAnsi="Times New Roman" w:cs="Times New Roman"/>
          <w:bCs/>
          <w:iCs/>
          <w:sz w:val="24"/>
          <w:szCs w:val="24"/>
        </w:rPr>
        <w:t>que acarreta</w:t>
      </w:r>
      <w:r w:rsidR="00856794" w:rsidRPr="00BC1D43">
        <w:rPr>
          <w:rFonts w:ascii="Times New Roman" w:hAnsi="Times New Roman" w:cs="Times New Roman"/>
          <w:bCs/>
          <w:iCs/>
          <w:sz w:val="24"/>
          <w:szCs w:val="24"/>
        </w:rPr>
        <w:t xml:space="preserve"> maior IQD.</w:t>
      </w:r>
    </w:p>
    <w:p w:rsidR="004D4623" w:rsidRPr="004D4623" w:rsidRDefault="004D4623" w:rsidP="004D4623">
      <w:pPr>
        <w:spacing w:line="48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C1D43">
        <w:rPr>
          <w:rFonts w:ascii="Times New Roman" w:hAnsi="Times New Roman" w:cs="Times New Roman"/>
          <w:b/>
          <w:bCs/>
          <w:sz w:val="24"/>
          <w:szCs w:val="24"/>
        </w:rPr>
        <w:t>Tabela 4 –</w:t>
      </w:r>
      <w:r w:rsidRPr="00BC1D43">
        <w:rPr>
          <w:rFonts w:ascii="Times New Roman" w:hAnsi="Times New Roman" w:cs="Times New Roman"/>
          <w:sz w:val="24"/>
          <w:szCs w:val="24"/>
        </w:rPr>
        <w:t xml:space="preserve"> Média e desvio-padrão de Índice de Qualidade de </w:t>
      </w:r>
      <w:proofErr w:type="spellStart"/>
      <w:r w:rsidRPr="00BC1D43">
        <w:rPr>
          <w:rFonts w:ascii="Times New Roman" w:hAnsi="Times New Roman" w:cs="Times New Roman"/>
          <w:sz w:val="24"/>
          <w:szCs w:val="24"/>
        </w:rPr>
        <w:t>Dickson</w:t>
      </w:r>
      <w:proofErr w:type="spellEnd"/>
      <w:r w:rsidRPr="00BC1D43">
        <w:rPr>
          <w:rFonts w:ascii="Times New Roman" w:hAnsi="Times New Roman" w:cs="Times New Roman"/>
          <w:sz w:val="24"/>
          <w:szCs w:val="24"/>
        </w:rPr>
        <w:t xml:space="preserve"> para os diferentes recipientes em cada concentração de P</w:t>
      </w:r>
      <w:r w:rsidRPr="00BC1D4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C1D43">
        <w:rPr>
          <w:rFonts w:ascii="Times New Roman" w:hAnsi="Times New Roman" w:cs="Times New Roman"/>
          <w:sz w:val="24"/>
          <w:szCs w:val="24"/>
        </w:rPr>
        <w:t>O</w:t>
      </w:r>
      <w:r w:rsidRPr="00BC1D43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BC1D43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BC1D43">
        <w:rPr>
          <w:rFonts w:ascii="Times New Roman" w:hAnsi="Times New Roman" w:cs="Times New Roman"/>
          <w:i/>
          <w:iCs/>
          <w:sz w:val="24"/>
          <w:szCs w:val="24"/>
        </w:rPr>
        <w:t>Schinus</w:t>
      </w:r>
      <w:proofErr w:type="spellEnd"/>
      <w:r w:rsidRPr="00BC1D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1D43">
        <w:rPr>
          <w:rFonts w:ascii="Times New Roman" w:hAnsi="Times New Roman" w:cs="Times New Roman"/>
          <w:i/>
          <w:iCs/>
          <w:sz w:val="24"/>
          <w:szCs w:val="24"/>
        </w:rPr>
        <w:t>terebinthifolius</w:t>
      </w:r>
      <w:proofErr w:type="spellEnd"/>
      <w:r w:rsidRPr="00BC1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D43">
        <w:rPr>
          <w:rFonts w:ascii="Times New Roman" w:hAnsi="Times New Roman" w:cs="Times New Roman"/>
          <w:sz w:val="24"/>
          <w:szCs w:val="24"/>
        </w:rPr>
        <w:t>Raddi</w:t>
      </w:r>
      <w:proofErr w:type="spellEnd"/>
      <w:r w:rsidRPr="00BC1D4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0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1228"/>
        <w:gridCol w:w="1276"/>
        <w:gridCol w:w="1660"/>
        <w:gridCol w:w="2493"/>
      </w:tblGrid>
      <w:tr w:rsidR="00D10922" w:rsidRPr="00D10922" w:rsidTr="00504CC1">
        <w:trPr>
          <w:trHeight w:val="315"/>
        </w:trPr>
        <w:tc>
          <w:tcPr>
            <w:tcW w:w="242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t>Concentração de P</w:t>
            </w:r>
            <w:r w:rsidRPr="00D109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pt-BR"/>
              </w:rPr>
              <w:t>2</w:t>
            </w:r>
            <w:r w:rsidRPr="00D109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</w:t>
            </w:r>
            <w:r w:rsidRPr="00D109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pt-BR"/>
              </w:rPr>
              <w:t>5</w:t>
            </w:r>
            <w:r w:rsidRPr="00D109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(g/m³)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Recipiente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 (p-valor)</w:t>
            </w:r>
          </w:p>
        </w:tc>
        <w:tc>
          <w:tcPr>
            <w:tcW w:w="249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Teste Mann-</w:t>
            </w:r>
            <w:proofErr w:type="spellStart"/>
            <w:r w:rsidRPr="00D109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Whytney</w:t>
            </w:r>
            <w:proofErr w:type="spellEnd"/>
          </w:p>
        </w:tc>
      </w:tr>
      <w:tr w:rsidR="00D10922" w:rsidRPr="00D10922" w:rsidTr="00504CC1">
        <w:trPr>
          <w:trHeight w:val="315"/>
        </w:trPr>
        <w:tc>
          <w:tcPr>
            <w:tcW w:w="242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10922" w:rsidRPr="00D10922" w:rsidRDefault="00D10922" w:rsidP="00504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120 cm³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56 cm³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10922" w:rsidRPr="00D10922" w:rsidRDefault="00D10922" w:rsidP="00504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49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10922" w:rsidRPr="00D10922" w:rsidRDefault="00D10922" w:rsidP="00504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D10922" w:rsidRPr="00D10922" w:rsidTr="00504CC1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0,20 (0,03)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0,11 (0,03)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4,867 (0,001)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0,008</w:t>
            </w:r>
          </w:p>
        </w:tc>
      </w:tr>
      <w:tr w:rsidR="00D10922" w:rsidRPr="00D10922" w:rsidTr="00504CC1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360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0,19 (0,04)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0,09 (0,02)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4,600 (0,002)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0,008</w:t>
            </w:r>
          </w:p>
        </w:tc>
      </w:tr>
      <w:tr w:rsidR="00D10922" w:rsidRPr="00D10922" w:rsidTr="00504CC1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540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0,21 (0,06)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0,08 (0,01)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4,705 (0,002)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0,008</w:t>
            </w:r>
          </w:p>
        </w:tc>
      </w:tr>
      <w:tr w:rsidR="00D10922" w:rsidRPr="00D10922" w:rsidTr="00504CC1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720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0,13 (0,04)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0,09 (0,02)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2,141 (0,065)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0,056</w:t>
            </w:r>
          </w:p>
        </w:tc>
      </w:tr>
      <w:tr w:rsidR="00D10922" w:rsidRPr="00D10922" w:rsidTr="00504CC1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0,14 (0,06)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0,10 (0,02)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1,575 (0,177)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10922" w:rsidRPr="00D10922" w:rsidRDefault="00D10922" w:rsidP="005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9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0,151</w:t>
            </w:r>
          </w:p>
        </w:tc>
      </w:tr>
    </w:tbl>
    <w:p w:rsidR="005C6B39" w:rsidRPr="00BC1D43" w:rsidRDefault="006A1819" w:rsidP="00BC1D43">
      <w:pPr>
        <w:spacing w:before="20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1D43">
        <w:rPr>
          <w:rFonts w:ascii="Times New Roman" w:hAnsi="Times New Roman" w:cs="Times New Roman"/>
          <w:sz w:val="24"/>
          <w:szCs w:val="24"/>
        </w:rPr>
        <w:t xml:space="preserve">O fósforo caracteriza-se pela forte relação com o desenvolvimento de mudas de </w:t>
      </w:r>
      <w:proofErr w:type="gramStart"/>
      <w:r w:rsidRPr="00BC1D43">
        <w:rPr>
          <w:rFonts w:ascii="Times New Roman" w:hAnsi="Times New Roman" w:cs="Times New Roman"/>
          <w:sz w:val="24"/>
          <w:szCs w:val="24"/>
        </w:rPr>
        <w:t>espécies</w:t>
      </w:r>
      <w:proofErr w:type="gramEnd"/>
      <w:r w:rsidRPr="00BC1D43">
        <w:rPr>
          <w:rFonts w:ascii="Times New Roman" w:hAnsi="Times New Roman" w:cs="Times New Roman"/>
          <w:sz w:val="24"/>
          <w:szCs w:val="24"/>
        </w:rPr>
        <w:t xml:space="preserve"> florestais, uma vez que participa de diversos processos metabólicos essenciais às plantas sendo que</w:t>
      </w:r>
      <w:r w:rsidR="002A27D3" w:rsidRPr="00BC1D43">
        <w:rPr>
          <w:rFonts w:ascii="Times New Roman" w:hAnsi="Times New Roman" w:cs="Times New Roman"/>
          <w:sz w:val="24"/>
          <w:szCs w:val="24"/>
        </w:rPr>
        <w:t>, para Grant et al. (2001), l</w:t>
      </w:r>
      <w:r w:rsidR="005F374C" w:rsidRPr="00BC1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imitações na disponibilidade de P no início do ciclo vegetativo podem resultar em restrições no desenvolvimento, das quais a planta não se recupera posteriormente, mesmo que aumentado o suprimento des</w:t>
      </w:r>
      <w:r w:rsidR="002A27D3" w:rsidRPr="00BC1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 nutriente a níveis adequados.</w:t>
      </w:r>
      <w:r w:rsidR="00420F5E" w:rsidRPr="00BC1D43">
        <w:rPr>
          <w:rFonts w:ascii="Times New Roman" w:hAnsi="Times New Roman" w:cs="Times New Roman"/>
          <w:sz w:val="24"/>
          <w:szCs w:val="24"/>
        </w:rPr>
        <w:t xml:space="preserve"> D</w:t>
      </w:r>
      <w:r w:rsidR="002D1FB3" w:rsidRPr="00BC1D43">
        <w:rPr>
          <w:rFonts w:ascii="Times New Roman" w:hAnsi="Times New Roman" w:cs="Times New Roman"/>
          <w:sz w:val="24"/>
          <w:szCs w:val="24"/>
        </w:rPr>
        <w:t>iferentes concentrações de P</w:t>
      </w:r>
      <w:r w:rsidR="002D1FB3" w:rsidRPr="00BC1D4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D1FB3" w:rsidRPr="00BC1D43">
        <w:rPr>
          <w:rFonts w:ascii="Times New Roman" w:hAnsi="Times New Roman" w:cs="Times New Roman"/>
          <w:sz w:val="24"/>
          <w:szCs w:val="24"/>
        </w:rPr>
        <w:t>O</w:t>
      </w:r>
      <w:r w:rsidR="002D1FB3" w:rsidRPr="00BC1D43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2D1FB3" w:rsidRPr="00BC1D43">
        <w:rPr>
          <w:rFonts w:ascii="Times New Roman" w:hAnsi="Times New Roman" w:cs="Times New Roman"/>
          <w:sz w:val="24"/>
          <w:szCs w:val="24"/>
        </w:rPr>
        <w:t xml:space="preserve"> proporcionaram</w:t>
      </w:r>
      <w:r w:rsidRPr="00BC1D43">
        <w:rPr>
          <w:rFonts w:ascii="Times New Roman" w:hAnsi="Times New Roman" w:cs="Times New Roman"/>
          <w:sz w:val="24"/>
          <w:szCs w:val="24"/>
        </w:rPr>
        <w:t xml:space="preserve"> resultados </w:t>
      </w:r>
      <w:r w:rsidR="002D1FB3" w:rsidRPr="00BC1D43">
        <w:rPr>
          <w:rFonts w:ascii="Times New Roman" w:hAnsi="Times New Roman" w:cs="Times New Roman"/>
          <w:sz w:val="24"/>
          <w:szCs w:val="24"/>
        </w:rPr>
        <w:t>semelhantes no tocante ao recipiente ótimo de produção. P</w:t>
      </w:r>
      <w:r w:rsidRPr="00BC1D43">
        <w:rPr>
          <w:rFonts w:ascii="Times New Roman" w:hAnsi="Times New Roman" w:cs="Times New Roman"/>
          <w:sz w:val="24"/>
          <w:szCs w:val="24"/>
        </w:rPr>
        <w:t>ara as quatro espécies avaliadas</w:t>
      </w:r>
      <w:r w:rsidR="002D1FB3" w:rsidRPr="00BC1D43">
        <w:rPr>
          <w:rFonts w:ascii="Times New Roman" w:hAnsi="Times New Roman" w:cs="Times New Roman"/>
          <w:sz w:val="24"/>
          <w:szCs w:val="24"/>
        </w:rPr>
        <w:t>, o tubete de 120 cm³ foi o recipiente que promoveu os maiores Índices de Qualidade de Dickson, ainda que variadas as concentrações onde este fato foi evidenciado</w:t>
      </w:r>
      <w:r w:rsidRPr="00BC1D43">
        <w:rPr>
          <w:rFonts w:ascii="Times New Roman" w:hAnsi="Times New Roman" w:cs="Times New Roman"/>
          <w:sz w:val="24"/>
          <w:szCs w:val="24"/>
        </w:rPr>
        <w:t>.</w:t>
      </w:r>
    </w:p>
    <w:p w:rsidR="009B1176" w:rsidRPr="00BC1D43" w:rsidRDefault="005C6B39" w:rsidP="00BC1D43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1D43">
        <w:rPr>
          <w:rFonts w:ascii="Times New Roman" w:hAnsi="Times New Roman" w:cs="Times New Roman"/>
          <w:sz w:val="24"/>
          <w:szCs w:val="24"/>
        </w:rPr>
        <w:t>O efeito da concentraç</w:t>
      </w:r>
      <w:r w:rsidR="00311394" w:rsidRPr="00BC1D43">
        <w:rPr>
          <w:rFonts w:ascii="Times New Roman" w:hAnsi="Times New Roman" w:cs="Times New Roman"/>
          <w:sz w:val="24"/>
          <w:szCs w:val="24"/>
        </w:rPr>
        <w:t>ão de P</w:t>
      </w:r>
      <w:r w:rsidR="00311394" w:rsidRPr="00BC1D4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11394" w:rsidRPr="00BC1D43">
        <w:rPr>
          <w:rFonts w:ascii="Times New Roman" w:hAnsi="Times New Roman" w:cs="Times New Roman"/>
          <w:sz w:val="24"/>
          <w:szCs w:val="24"/>
        </w:rPr>
        <w:t>O</w:t>
      </w:r>
      <w:r w:rsidR="00311394" w:rsidRPr="00BC1D43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2D1FB3" w:rsidRPr="00BC1D43">
        <w:rPr>
          <w:rFonts w:ascii="Times New Roman" w:hAnsi="Times New Roman" w:cs="Times New Roman"/>
          <w:sz w:val="24"/>
          <w:szCs w:val="24"/>
        </w:rPr>
        <w:t xml:space="preserve"> </w:t>
      </w:r>
      <w:r w:rsidR="004D4A20" w:rsidRPr="00BC1D43">
        <w:rPr>
          <w:rFonts w:ascii="Times New Roman" w:hAnsi="Times New Roman" w:cs="Times New Roman"/>
          <w:sz w:val="24"/>
          <w:szCs w:val="24"/>
        </w:rPr>
        <w:t>foi</w:t>
      </w:r>
      <w:r w:rsidR="002D1FB3" w:rsidRPr="00BC1D43">
        <w:rPr>
          <w:rFonts w:ascii="Times New Roman" w:hAnsi="Times New Roman" w:cs="Times New Roman"/>
          <w:sz w:val="24"/>
          <w:szCs w:val="24"/>
        </w:rPr>
        <w:t xml:space="preserve"> diferente para as espécies utilizadas, sendo que </w:t>
      </w:r>
      <w:r w:rsidR="002D1FB3" w:rsidRPr="00BC1D43">
        <w:rPr>
          <w:rFonts w:ascii="Times New Roman" w:hAnsi="Times New Roman" w:cs="Times New Roman"/>
          <w:i/>
          <w:sz w:val="24"/>
          <w:szCs w:val="24"/>
        </w:rPr>
        <w:t>C</w:t>
      </w:r>
      <w:r w:rsidR="00311394" w:rsidRPr="00BC1D43">
        <w:rPr>
          <w:rFonts w:ascii="Times New Roman" w:hAnsi="Times New Roman" w:cs="Times New Roman"/>
          <w:i/>
          <w:sz w:val="24"/>
          <w:szCs w:val="24"/>
        </w:rPr>
        <w:t>.</w:t>
      </w:r>
      <w:r w:rsidR="002D1FB3" w:rsidRPr="00BC1D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D1FB3" w:rsidRPr="00BC1D43">
        <w:rPr>
          <w:rFonts w:ascii="Times New Roman" w:hAnsi="Times New Roman" w:cs="Times New Roman"/>
          <w:i/>
          <w:sz w:val="24"/>
          <w:szCs w:val="24"/>
        </w:rPr>
        <w:t>speciosa</w:t>
      </w:r>
      <w:proofErr w:type="spellEnd"/>
      <w:r w:rsidR="002D1FB3" w:rsidRPr="00BC1D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1FB3" w:rsidRPr="00BC1D43">
        <w:rPr>
          <w:rFonts w:ascii="Times New Roman" w:hAnsi="Times New Roman" w:cs="Times New Roman"/>
          <w:sz w:val="24"/>
          <w:szCs w:val="24"/>
        </w:rPr>
        <w:t xml:space="preserve">e </w:t>
      </w:r>
      <w:r w:rsidR="002D1FB3" w:rsidRPr="00BC1D43">
        <w:rPr>
          <w:rFonts w:ascii="Times New Roman" w:hAnsi="Times New Roman" w:cs="Times New Roman"/>
          <w:i/>
          <w:sz w:val="24"/>
          <w:szCs w:val="24"/>
        </w:rPr>
        <w:t>S</w:t>
      </w:r>
      <w:r w:rsidR="00311394" w:rsidRPr="00BC1D43">
        <w:rPr>
          <w:rFonts w:ascii="Times New Roman" w:hAnsi="Times New Roman" w:cs="Times New Roman"/>
          <w:i/>
          <w:sz w:val="24"/>
          <w:szCs w:val="24"/>
        </w:rPr>
        <w:t>.</w:t>
      </w:r>
      <w:r w:rsidR="002D1FB3" w:rsidRPr="00BC1D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D1FB3" w:rsidRPr="00BC1D43">
        <w:rPr>
          <w:rFonts w:ascii="Times New Roman" w:hAnsi="Times New Roman" w:cs="Times New Roman"/>
          <w:i/>
          <w:sz w:val="24"/>
          <w:szCs w:val="24"/>
        </w:rPr>
        <w:t>terebintifolius</w:t>
      </w:r>
      <w:proofErr w:type="spellEnd"/>
      <w:r w:rsidR="004D4A20" w:rsidRPr="00BC1D43">
        <w:rPr>
          <w:rFonts w:ascii="Times New Roman" w:hAnsi="Times New Roman" w:cs="Times New Roman"/>
          <w:sz w:val="24"/>
          <w:szCs w:val="24"/>
        </w:rPr>
        <w:t xml:space="preserve"> apresentaram a concentração mínima utilizada (180 g de</w:t>
      </w:r>
      <w:r w:rsidR="002D1FB3" w:rsidRPr="00BC1D43">
        <w:rPr>
          <w:rFonts w:ascii="Times New Roman" w:hAnsi="Times New Roman" w:cs="Times New Roman"/>
          <w:sz w:val="24"/>
          <w:szCs w:val="24"/>
        </w:rPr>
        <w:t xml:space="preserve"> </w:t>
      </w:r>
      <w:r w:rsidR="004D4A20" w:rsidRPr="00BC1D43">
        <w:rPr>
          <w:rFonts w:ascii="Times New Roman" w:hAnsi="Times New Roman" w:cs="Times New Roman"/>
          <w:sz w:val="24"/>
          <w:szCs w:val="24"/>
        </w:rPr>
        <w:t>P</w:t>
      </w:r>
      <w:r w:rsidR="004D4A20" w:rsidRPr="00BC1D4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D4A20" w:rsidRPr="00BC1D43">
        <w:rPr>
          <w:rFonts w:ascii="Times New Roman" w:hAnsi="Times New Roman" w:cs="Times New Roman"/>
          <w:sz w:val="24"/>
          <w:szCs w:val="24"/>
        </w:rPr>
        <w:t>O</w:t>
      </w:r>
      <w:r w:rsidR="004D4A20" w:rsidRPr="00BC1D43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4D4A20" w:rsidRPr="00BC1D43">
        <w:rPr>
          <w:rFonts w:ascii="Times New Roman" w:hAnsi="Times New Roman" w:cs="Times New Roman"/>
          <w:sz w:val="24"/>
          <w:szCs w:val="24"/>
        </w:rPr>
        <w:t>/m³) na indicação do recipiente ótimo de produção, o tubete de 120 cm³, com IQD de 0,31 e 0,20, respectivamente.</w:t>
      </w:r>
    </w:p>
    <w:p w:rsidR="00455B8F" w:rsidRPr="00BC1D43" w:rsidRDefault="002A0CD1" w:rsidP="00BC1D43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1D43">
        <w:rPr>
          <w:rFonts w:ascii="Times New Roman" w:hAnsi="Times New Roman" w:cs="Times New Roman"/>
          <w:sz w:val="24"/>
          <w:szCs w:val="24"/>
        </w:rPr>
        <w:t>Os</w:t>
      </w:r>
      <w:r w:rsidR="005C6B39" w:rsidRPr="00BC1D43">
        <w:rPr>
          <w:rFonts w:ascii="Times New Roman" w:hAnsi="Times New Roman" w:cs="Times New Roman"/>
          <w:sz w:val="24"/>
          <w:szCs w:val="24"/>
        </w:rPr>
        <w:t xml:space="preserve"> </w:t>
      </w:r>
      <w:r w:rsidR="00455B8F" w:rsidRPr="00BC1D43">
        <w:rPr>
          <w:rFonts w:ascii="Times New Roman" w:hAnsi="Times New Roman" w:cs="Times New Roman"/>
          <w:sz w:val="24"/>
          <w:szCs w:val="24"/>
        </w:rPr>
        <w:t xml:space="preserve">resultados sugerem que recipientes de maiores dimensões proporcionam uma melhor relação entre </w:t>
      </w:r>
      <w:r w:rsidR="00991C80" w:rsidRPr="00BC1D43">
        <w:rPr>
          <w:rFonts w:ascii="Times New Roman" w:hAnsi="Times New Roman" w:cs="Times New Roman"/>
          <w:sz w:val="24"/>
          <w:szCs w:val="24"/>
        </w:rPr>
        <w:t>a parte aérea e a parte radicular</w:t>
      </w:r>
      <w:r w:rsidR="00455B8F" w:rsidRPr="00BC1D43">
        <w:rPr>
          <w:rFonts w:ascii="Times New Roman" w:hAnsi="Times New Roman" w:cs="Times New Roman"/>
          <w:sz w:val="24"/>
          <w:szCs w:val="24"/>
        </w:rPr>
        <w:t xml:space="preserve"> das mudas de espécies florestais nativas, uma vez que foram obtidos maiores Índices de Qualidade de Dickson quando da utilização dos tubetes de 120 cm³. </w:t>
      </w:r>
      <w:r w:rsidR="0012165C">
        <w:rPr>
          <w:rFonts w:ascii="Times New Roman" w:hAnsi="Times New Roman" w:cs="Times New Roman"/>
          <w:sz w:val="24"/>
          <w:szCs w:val="24"/>
        </w:rPr>
        <w:t>Ferraz &amp;</w:t>
      </w:r>
      <w:r w:rsidR="00326B85" w:rsidRPr="00BC1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6B85" w:rsidRPr="00BC1D43">
        <w:rPr>
          <w:rFonts w:ascii="Times New Roman" w:hAnsi="Times New Roman" w:cs="Times New Roman"/>
          <w:sz w:val="24"/>
          <w:szCs w:val="24"/>
        </w:rPr>
        <w:t>Engel</w:t>
      </w:r>
      <w:proofErr w:type="spellEnd"/>
      <w:r w:rsidR="00326B85" w:rsidRPr="00BC1D43">
        <w:rPr>
          <w:rFonts w:ascii="Times New Roman" w:hAnsi="Times New Roman" w:cs="Times New Roman"/>
          <w:sz w:val="24"/>
          <w:szCs w:val="24"/>
        </w:rPr>
        <w:t xml:space="preserve"> (2011) corroboram esta </w:t>
      </w:r>
      <w:r w:rsidR="00701DC2" w:rsidRPr="00BC1D43">
        <w:rPr>
          <w:rFonts w:ascii="Times New Roman" w:hAnsi="Times New Roman" w:cs="Times New Roman"/>
          <w:sz w:val="24"/>
          <w:szCs w:val="24"/>
        </w:rPr>
        <w:t>ideia ao afirmarem que maiores Í</w:t>
      </w:r>
      <w:r w:rsidR="00326B85" w:rsidRPr="00BC1D43">
        <w:rPr>
          <w:rFonts w:ascii="Times New Roman" w:hAnsi="Times New Roman" w:cs="Times New Roman"/>
          <w:sz w:val="24"/>
          <w:szCs w:val="24"/>
        </w:rPr>
        <w:t xml:space="preserve">ndices de </w:t>
      </w:r>
      <w:r w:rsidR="00701DC2" w:rsidRPr="00BC1D43">
        <w:rPr>
          <w:rFonts w:ascii="Times New Roman" w:hAnsi="Times New Roman" w:cs="Times New Roman"/>
          <w:sz w:val="24"/>
          <w:szCs w:val="24"/>
        </w:rPr>
        <w:t>Q</w:t>
      </w:r>
      <w:r w:rsidR="00326B85" w:rsidRPr="00BC1D43">
        <w:rPr>
          <w:rFonts w:ascii="Times New Roman" w:hAnsi="Times New Roman" w:cs="Times New Roman"/>
          <w:sz w:val="24"/>
          <w:szCs w:val="24"/>
        </w:rPr>
        <w:t>ualidade de Dickson são obtidos quando são utilizados tubetes com maior dimensão</w:t>
      </w:r>
      <w:r w:rsidR="00D3128C" w:rsidRPr="00BC1D43">
        <w:rPr>
          <w:rFonts w:ascii="Times New Roman" w:hAnsi="Times New Roman" w:cs="Times New Roman"/>
          <w:sz w:val="24"/>
          <w:szCs w:val="24"/>
        </w:rPr>
        <w:t>.</w:t>
      </w:r>
      <w:r w:rsidR="00326B85" w:rsidRPr="00BC1D43">
        <w:rPr>
          <w:rFonts w:ascii="Times New Roman" w:hAnsi="Times New Roman" w:cs="Times New Roman"/>
          <w:sz w:val="24"/>
          <w:szCs w:val="24"/>
        </w:rPr>
        <w:t xml:space="preserve"> </w:t>
      </w:r>
      <w:r w:rsidR="00D3128C" w:rsidRPr="00BC1D43">
        <w:rPr>
          <w:rFonts w:ascii="Times New Roman" w:hAnsi="Times New Roman" w:cs="Times New Roman"/>
          <w:sz w:val="24"/>
          <w:szCs w:val="24"/>
        </w:rPr>
        <w:t xml:space="preserve">Isto pode ser devido ao fato de que recipientes com maiores dimensões dispõem de mais espaço para o crescimento do sistema radicular, o que é evidenciado, </w:t>
      </w:r>
      <w:r w:rsidR="00D3128C" w:rsidRPr="00BC1D43">
        <w:rPr>
          <w:rFonts w:ascii="Times New Roman" w:hAnsi="Times New Roman" w:cs="Times New Roman"/>
          <w:sz w:val="24"/>
          <w:szCs w:val="24"/>
        </w:rPr>
        <w:lastRenderedPageBreak/>
        <w:t>principalmente, no crescimento da parte aérea das mudas e, consequentemente em uma relação mais equilibrada entre a parte radicular e a parte aérea.</w:t>
      </w:r>
    </w:p>
    <w:p w:rsidR="00991C80" w:rsidRPr="00BC1D43" w:rsidRDefault="00991C80" w:rsidP="00BC1D43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1D43">
        <w:rPr>
          <w:rFonts w:ascii="Times New Roman" w:hAnsi="Times New Roman" w:cs="Times New Roman"/>
          <w:sz w:val="24"/>
          <w:szCs w:val="24"/>
        </w:rPr>
        <w:t xml:space="preserve">A ocorrência das diferenças </w:t>
      </w:r>
      <w:proofErr w:type="gramStart"/>
      <w:r w:rsidRPr="00BC1D43">
        <w:rPr>
          <w:rFonts w:ascii="Times New Roman" w:hAnsi="Times New Roman" w:cs="Times New Roman"/>
          <w:sz w:val="24"/>
          <w:szCs w:val="24"/>
        </w:rPr>
        <w:t>não-significativas</w:t>
      </w:r>
      <w:proofErr w:type="gramEnd"/>
      <w:r w:rsidRPr="00BC1D43">
        <w:rPr>
          <w:rFonts w:ascii="Times New Roman" w:hAnsi="Times New Roman" w:cs="Times New Roman"/>
          <w:sz w:val="24"/>
          <w:szCs w:val="24"/>
        </w:rPr>
        <w:t xml:space="preserve"> entre as outras concentrações de P</w:t>
      </w:r>
      <w:r w:rsidRPr="00BC1D4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C1D43">
        <w:rPr>
          <w:rFonts w:ascii="Times New Roman" w:hAnsi="Times New Roman" w:cs="Times New Roman"/>
          <w:sz w:val="24"/>
          <w:szCs w:val="24"/>
        </w:rPr>
        <w:t>O</w:t>
      </w:r>
      <w:r w:rsidRPr="00BC1D43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BC1D43">
        <w:rPr>
          <w:rFonts w:ascii="Times New Roman" w:hAnsi="Times New Roman" w:cs="Times New Roman"/>
          <w:sz w:val="24"/>
          <w:szCs w:val="24"/>
        </w:rPr>
        <w:t xml:space="preserve">/m³ podem ter sido resultados da baixa correlação entre os parâmetros das mudas sob o efeito das diferentes concentrações de adubo. </w:t>
      </w:r>
      <w:r w:rsidR="008261B4" w:rsidRPr="00BC1D43">
        <w:rPr>
          <w:rFonts w:ascii="Times New Roman" w:hAnsi="Times New Roman" w:cs="Times New Roman"/>
          <w:sz w:val="24"/>
          <w:szCs w:val="24"/>
        </w:rPr>
        <w:t>Quando a relação entre a parte aér</w:t>
      </w:r>
      <w:r w:rsidR="00701DC2" w:rsidRPr="00BC1D43">
        <w:rPr>
          <w:rFonts w:ascii="Times New Roman" w:hAnsi="Times New Roman" w:cs="Times New Roman"/>
          <w:sz w:val="24"/>
          <w:szCs w:val="24"/>
        </w:rPr>
        <w:t>ea e a parte radicular da muda</w:t>
      </w:r>
      <w:r w:rsidR="008261B4" w:rsidRPr="00BC1D43">
        <w:rPr>
          <w:rFonts w:ascii="Times New Roman" w:hAnsi="Times New Roman" w:cs="Times New Roman"/>
          <w:sz w:val="24"/>
          <w:szCs w:val="24"/>
        </w:rPr>
        <w:t xml:space="preserve"> apresenta valores altos, </w:t>
      </w:r>
      <w:r w:rsidR="00701DC2" w:rsidRPr="00BC1D43">
        <w:rPr>
          <w:rFonts w:ascii="Times New Roman" w:hAnsi="Times New Roman" w:cs="Times New Roman"/>
          <w:sz w:val="24"/>
          <w:szCs w:val="24"/>
        </w:rPr>
        <w:t>tanto em comprimento quanto em</w:t>
      </w:r>
      <w:r w:rsidR="008261B4" w:rsidRPr="00BC1D43">
        <w:rPr>
          <w:rFonts w:ascii="Times New Roman" w:hAnsi="Times New Roman" w:cs="Times New Roman"/>
          <w:sz w:val="24"/>
          <w:szCs w:val="24"/>
        </w:rPr>
        <w:t xml:space="preserve"> massa seca, o valor do IQD tende a diminuir.</w:t>
      </w:r>
    </w:p>
    <w:p w:rsidR="006022E7" w:rsidRPr="00BC1D43" w:rsidRDefault="00695D4E" w:rsidP="00BC1D43">
      <w:pPr>
        <w:spacing w:line="48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BC1D43">
        <w:rPr>
          <w:rFonts w:ascii="Times New Roman" w:hAnsi="Times New Roman" w:cs="Times New Roman"/>
          <w:sz w:val="24"/>
          <w:szCs w:val="24"/>
        </w:rPr>
        <w:t>M</w:t>
      </w:r>
      <w:r w:rsidR="006022E7" w:rsidRPr="00BC1D43">
        <w:rPr>
          <w:rFonts w:ascii="Times New Roman" w:hAnsi="Times New Roman" w:cs="Times New Roman"/>
          <w:sz w:val="24"/>
          <w:szCs w:val="24"/>
        </w:rPr>
        <w:t>elotto</w:t>
      </w:r>
      <w:proofErr w:type="spellEnd"/>
      <w:r w:rsidR="006022E7" w:rsidRPr="00BC1D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022E7" w:rsidRPr="00BC1D43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="006022E7" w:rsidRPr="00BC1D43">
        <w:rPr>
          <w:rFonts w:ascii="Times New Roman" w:hAnsi="Times New Roman" w:cs="Times New Roman"/>
          <w:sz w:val="24"/>
          <w:szCs w:val="24"/>
        </w:rPr>
        <w:t xml:space="preserve"> al. (2009) afirmam que os tubetes</w:t>
      </w:r>
      <w:r w:rsidRPr="00BC1D43">
        <w:rPr>
          <w:rFonts w:ascii="Times New Roman" w:hAnsi="Times New Roman" w:cs="Times New Roman"/>
          <w:sz w:val="24"/>
          <w:szCs w:val="24"/>
        </w:rPr>
        <w:t>, por possuírem menores dimensões,</w:t>
      </w:r>
      <w:r w:rsidR="006022E7" w:rsidRPr="00BC1D43">
        <w:rPr>
          <w:rFonts w:ascii="Times New Roman" w:hAnsi="Times New Roman" w:cs="Times New Roman"/>
          <w:sz w:val="24"/>
          <w:szCs w:val="24"/>
        </w:rPr>
        <w:t xml:space="preserve"> podem restringir o desenvolvimento da raiz, levando à redução do número de raízes laterais e acarretando menor desenvolvimento das plantas no campo e, como </w:t>
      </w:r>
      <w:r w:rsidR="00DE7F47" w:rsidRPr="00BC1D43">
        <w:rPr>
          <w:rFonts w:ascii="Times New Roman" w:hAnsi="Times New Roman" w:cs="Times New Roman"/>
          <w:sz w:val="24"/>
          <w:szCs w:val="24"/>
        </w:rPr>
        <w:t>consequ</w:t>
      </w:r>
      <w:r w:rsidR="006022E7" w:rsidRPr="00BC1D43">
        <w:rPr>
          <w:rFonts w:ascii="Times New Roman" w:hAnsi="Times New Roman" w:cs="Times New Roman"/>
          <w:sz w:val="24"/>
          <w:szCs w:val="24"/>
        </w:rPr>
        <w:t xml:space="preserve">ência, pode haver dificuldade na absorção de água e nutrientes do solo e produção e transporte de reguladores de crescimento. Todavia, José </w:t>
      </w:r>
      <w:proofErr w:type="gramStart"/>
      <w:r w:rsidR="006022E7" w:rsidRPr="00BC1D43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="006022E7" w:rsidRPr="00BC1D43">
        <w:rPr>
          <w:rFonts w:ascii="Times New Roman" w:hAnsi="Times New Roman" w:cs="Times New Roman"/>
          <w:sz w:val="24"/>
          <w:szCs w:val="24"/>
        </w:rPr>
        <w:t xml:space="preserve"> al. (2005) explanam que pesquisas comparando o desempenho de mudas produzidas em recipientes de menores dimensões com mudas produzidas em recipientes maiores mostram que as diferenças iniciais de altura e diâmetro tendem a desa</w:t>
      </w:r>
      <w:r w:rsidR="006A1819" w:rsidRPr="00BC1D43">
        <w:rPr>
          <w:rFonts w:ascii="Times New Roman" w:hAnsi="Times New Roman" w:cs="Times New Roman"/>
          <w:sz w:val="24"/>
          <w:szCs w:val="24"/>
        </w:rPr>
        <w:t>parecer com o decorrer do tempo</w:t>
      </w:r>
      <w:r w:rsidR="006022E7" w:rsidRPr="00BC1D43">
        <w:rPr>
          <w:rFonts w:ascii="Times New Roman" w:hAnsi="Times New Roman" w:cs="Times New Roman"/>
          <w:sz w:val="24"/>
          <w:szCs w:val="24"/>
        </w:rPr>
        <w:t>.</w:t>
      </w:r>
    </w:p>
    <w:p w:rsidR="006022E7" w:rsidRPr="00BC1D43" w:rsidRDefault="006022E7" w:rsidP="00BC1D43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1D43">
        <w:rPr>
          <w:rFonts w:ascii="Times New Roman" w:hAnsi="Times New Roman" w:cs="Times New Roman"/>
          <w:b/>
          <w:bCs/>
          <w:sz w:val="24"/>
          <w:szCs w:val="24"/>
        </w:rPr>
        <w:t>CONCLUSÃO</w:t>
      </w:r>
    </w:p>
    <w:p w:rsidR="006022E7" w:rsidRPr="00BC1D43" w:rsidRDefault="006022E7" w:rsidP="00BC1D43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1D43">
        <w:rPr>
          <w:rFonts w:ascii="Times New Roman" w:hAnsi="Times New Roman" w:cs="Times New Roman"/>
          <w:sz w:val="24"/>
          <w:szCs w:val="24"/>
        </w:rPr>
        <w:t xml:space="preserve">A adubação fosfatada e o tamanho dos recipientes afetam a qualidade de mudas de saboneteira, paineira, mutamba e aroeira. </w:t>
      </w:r>
      <w:r w:rsidR="0082353E" w:rsidRPr="00BC1D43">
        <w:rPr>
          <w:rFonts w:ascii="Times New Roman" w:hAnsi="Times New Roman" w:cs="Times New Roman"/>
          <w:sz w:val="24"/>
          <w:szCs w:val="24"/>
        </w:rPr>
        <w:t>Diferentes concentrações de P</w:t>
      </w:r>
      <w:r w:rsidR="0082353E" w:rsidRPr="00BC1D4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2353E" w:rsidRPr="00BC1D43">
        <w:rPr>
          <w:rFonts w:ascii="Times New Roman" w:hAnsi="Times New Roman" w:cs="Times New Roman"/>
          <w:sz w:val="24"/>
          <w:szCs w:val="24"/>
        </w:rPr>
        <w:t>O</w:t>
      </w:r>
      <w:r w:rsidR="0082353E" w:rsidRPr="00BC1D43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82353E" w:rsidRPr="00BC1D43">
        <w:rPr>
          <w:rFonts w:ascii="Times New Roman" w:hAnsi="Times New Roman" w:cs="Times New Roman"/>
          <w:sz w:val="24"/>
          <w:szCs w:val="24"/>
        </w:rPr>
        <w:t xml:space="preserve"> proporcionam resultados semelhantes no tocante ao recipiente ótimo de produção para as espécies avaliadas, sendo o tubete de 120 cm³ o recipiente que promoveu os maiores Índices de Qualidade de Dickson.</w:t>
      </w:r>
      <w:r w:rsidR="00A65DFD" w:rsidRPr="00BC1D43">
        <w:rPr>
          <w:rFonts w:ascii="Times New Roman" w:hAnsi="Times New Roman" w:cs="Times New Roman"/>
          <w:sz w:val="24"/>
          <w:szCs w:val="24"/>
        </w:rPr>
        <w:t xml:space="preserve"> A utilização do Índice de Qualidade de Dickson é indicado para a avaliação da qualidade de mudas</w:t>
      </w:r>
      <w:proofErr w:type="gramStart"/>
      <w:r w:rsidR="00A65DFD" w:rsidRPr="00BC1D43">
        <w:rPr>
          <w:rFonts w:ascii="Times New Roman" w:hAnsi="Times New Roman" w:cs="Times New Roman"/>
          <w:sz w:val="24"/>
          <w:szCs w:val="24"/>
        </w:rPr>
        <w:t xml:space="preserve"> pois</w:t>
      </w:r>
      <w:proofErr w:type="gramEnd"/>
      <w:r w:rsidR="00A65DFD" w:rsidRPr="00BC1D43">
        <w:rPr>
          <w:rFonts w:ascii="Times New Roman" w:hAnsi="Times New Roman" w:cs="Times New Roman"/>
          <w:sz w:val="24"/>
          <w:szCs w:val="24"/>
        </w:rPr>
        <w:t xml:space="preserve"> resulta da relação ponderada entre os parâmetros mensurados.</w:t>
      </w:r>
    </w:p>
    <w:p w:rsidR="006022E7" w:rsidRPr="00BC1D43" w:rsidRDefault="006022E7" w:rsidP="00BC1D43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1D43">
        <w:rPr>
          <w:rFonts w:ascii="Times New Roman" w:hAnsi="Times New Roman" w:cs="Times New Roman"/>
          <w:b/>
          <w:bCs/>
          <w:sz w:val="24"/>
          <w:szCs w:val="24"/>
        </w:rPr>
        <w:t>REFERÊNCIAS BIBLIOGRÁFICAS</w:t>
      </w:r>
    </w:p>
    <w:p w:rsidR="006022E7" w:rsidRPr="00AD757C" w:rsidRDefault="009A5DDA" w:rsidP="00146C3B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57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BRACHTVOGEL</w:t>
      </w:r>
      <w:r w:rsidR="00CB4CEF" w:rsidRPr="00AD757C">
        <w:rPr>
          <w:rFonts w:ascii="Times New Roman" w:hAnsi="Times New Roman" w:cs="Times New Roman"/>
          <w:sz w:val="24"/>
          <w:szCs w:val="24"/>
          <w:shd w:val="clear" w:color="auto" w:fill="FFFFFF"/>
        </w:rPr>
        <w:t>, E. L.;</w:t>
      </w:r>
      <w:r w:rsidRPr="00AD75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FREIBERGER</w:t>
      </w:r>
      <w:r w:rsidR="00CB4CEF" w:rsidRPr="00AD757C">
        <w:rPr>
          <w:rFonts w:ascii="Times New Roman" w:hAnsi="Times New Roman" w:cs="Times New Roman"/>
          <w:sz w:val="24"/>
          <w:szCs w:val="24"/>
          <w:shd w:val="clear" w:color="auto" w:fill="FFFFFF"/>
        </w:rPr>
        <w:t>, M. B.;</w:t>
      </w:r>
      <w:r w:rsidRPr="00AD75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MALAVASI, M. M.</w:t>
      </w:r>
      <w:r w:rsidR="00CB4CEF" w:rsidRPr="00AD757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AD75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MALAVASI, U. C</w:t>
      </w:r>
      <w:r w:rsidR="006022E7" w:rsidRPr="00AD757C">
        <w:rPr>
          <w:rFonts w:ascii="Times New Roman" w:hAnsi="Times New Roman" w:cs="Times New Roman"/>
          <w:sz w:val="24"/>
          <w:szCs w:val="24"/>
        </w:rPr>
        <w:t xml:space="preserve">. Efeitos do uso de um fertilizante de lenta disponibilidade e do volume do recipiente na formação de mudas de </w:t>
      </w:r>
      <w:proofErr w:type="spellStart"/>
      <w:r w:rsidR="006022E7" w:rsidRPr="00AD757C">
        <w:rPr>
          <w:rFonts w:ascii="Times New Roman" w:hAnsi="Times New Roman" w:cs="Times New Roman"/>
          <w:i/>
          <w:iCs/>
          <w:sz w:val="24"/>
          <w:szCs w:val="24"/>
        </w:rPr>
        <w:t>Peltophorum</w:t>
      </w:r>
      <w:proofErr w:type="spellEnd"/>
      <w:r w:rsidR="006022E7" w:rsidRPr="00AD75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022E7" w:rsidRPr="00AD757C">
        <w:rPr>
          <w:rFonts w:ascii="Times New Roman" w:hAnsi="Times New Roman" w:cs="Times New Roman"/>
          <w:i/>
          <w:iCs/>
          <w:sz w:val="24"/>
          <w:szCs w:val="24"/>
        </w:rPr>
        <w:t>dubium</w:t>
      </w:r>
      <w:proofErr w:type="spellEnd"/>
      <w:r w:rsidR="006022E7" w:rsidRPr="00AD75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022E7" w:rsidRPr="00AD757C">
        <w:rPr>
          <w:rFonts w:ascii="Times New Roman" w:hAnsi="Times New Roman" w:cs="Times New Roman"/>
          <w:b/>
          <w:bCs/>
          <w:sz w:val="24"/>
          <w:szCs w:val="24"/>
        </w:rPr>
        <w:t>Scientia</w:t>
      </w:r>
      <w:proofErr w:type="spellEnd"/>
      <w:r w:rsidR="006022E7" w:rsidRPr="00AD757C">
        <w:rPr>
          <w:rFonts w:ascii="Times New Roman" w:hAnsi="Times New Roman" w:cs="Times New Roman"/>
          <w:b/>
          <w:bCs/>
          <w:sz w:val="24"/>
          <w:szCs w:val="24"/>
        </w:rPr>
        <w:t xml:space="preserve"> Agrária </w:t>
      </w:r>
      <w:proofErr w:type="spellStart"/>
      <w:r w:rsidR="006022E7" w:rsidRPr="00AD757C">
        <w:rPr>
          <w:rFonts w:ascii="Times New Roman" w:hAnsi="Times New Roman" w:cs="Times New Roman"/>
          <w:b/>
          <w:bCs/>
          <w:sz w:val="24"/>
          <w:szCs w:val="24"/>
        </w:rPr>
        <w:t>Paranaensis</w:t>
      </w:r>
      <w:proofErr w:type="spellEnd"/>
      <w:r w:rsidR="006022E7" w:rsidRPr="00AD757C">
        <w:rPr>
          <w:rFonts w:ascii="Times New Roman" w:hAnsi="Times New Roman" w:cs="Times New Roman"/>
          <w:sz w:val="24"/>
          <w:szCs w:val="24"/>
        </w:rPr>
        <w:t xml:space="preserve">, </w:t>
      </w:r>
      <w:r w:rsidR="00270EFC" w:rsidRPr="00AD757C">
        <w:rPr>
          <w:rFonts w:ascii="Times New Roman" w:hAnsi="Times New Roman" w:cs="Times New Roman"/>
          <w:sz w:val="24"/>
          <w:szCs w:val="24"/>
        </w:rPr>
        <w:t>Marechal Cândido Rondon</w:t>
      </w:r>
      <w:r w:rsidR="00FF7C9B" w:rsidRPr="00AD757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F7C9B" w:rsidRPr="00AD757C">
        <w:rPr>
          <w:rFonts w:ascii="Times New Roman" w:hAnsi="Times New Roman" w:cs="Times New Roman"/>
          <w:sz w:val="24"/>
          <w:szCs w:val="24"/>
        </w:rPr>
        <w:t>v.</w:t>
      </w:r>
      <w:r w:rsidR="00270EFC" w:rsidRPr="00AD757C">
        <w:rPr>
          <w:rFonts w:ascii="Times New Roman" w:hAnsi="Times New Roman" w:cs="Times New Roman"/>
          <w:sz w:val="24"/>
          <w:szCs w:val="24"/>
        </w:rPr>
        <w:t>5</w:t>
      </w:r>
      <w:r w:rsidR="00FF7C9B" w:rsidRPr="00AD757C">
        <w:rPr>
          <w:rFonts w:ascii="Times New Roman" w:hAnsi="Times New Roman" w:cs="Times New Roman"/>
          <w:sz w:val="24"/>
          <w:szCs w:val="24"/>
        </w:rPr>
        <w:t xml:space="preserve">, </w:t>
      </w:r>
      <w:r w:rsidR="00270EFC" w:rsidRPr="00AD757C">
        <w:rPr>
          <w:rFonts w:ascii="Times New Roman" w:hAnsi="Times New Roman" w:cs="Times New Roman"/>
          <w:sz w:val="24"/>
          <w:szCs w:val="24"/>
        </w:rPr>
        <w:t>p. 67- 71,</w:t>
      </w:r>
      <w:r w:rsidR="00FF7C9B" w:rsidRPr="00AD757C">
        <w:rPr>
          <w:rFonts w:ascii="Times New Roman" w:hAnsi="Times New Roman" w:cs="Times New Roman"/>
          <w:sz w:val="24"/>
          <w:szCs w:val="24"/>
        </w:rPr>
        <w:t xml:space="preserve"> </w:t>
      </w:r>
      <w:r w:rsidR="006022E7" w:rsidRPr="00AD757C">
        <w:rPr>
          <w:rFonts w:ascii="Times New Roman" w:hAnsi="Times New Roman" w:cs="Times New Roman"/>
          <w:sz w:val="24"/>
          <w:szCs w:val="24"/>
        </w:rPr>
        <w:t>2006.</w:t>
      </w:r>
    </w:p>
    <w:p w:rsidR="006022E7" w:rsidRPr="00AD757C" w:rsidRDefault="006022E7" w:rsidP="00146C3B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57C">
        <w:rPr>
          <w:rFonts w:ascii="Times New Roman" w:hAnsi="Times New Roman" w:cs="Times New Roman"/>
          <w:sz w:val="24"/>
          <w:szCs w:val="24"/>
        </w:rPr>
        <w:t xml:space="preserve">CASTRO, D. N. </w:t>
      </w:r>
      <w:r w:rsidRPr="00AD757C">
        <w:rPr>
          <w:rFonts w:ascii="Times New Roman" w:hAnsi="Times New Roman" w:cs="Times New Roman"/>
          <w:b/>
          <w:bCs/>
          <w:sz w:val="24"/>
          <w:szCs w:val="24"/>
        </w:rPr>
        <w:t xml:space="preserve">Produção de mudas de </w:t>
      </w:r>
      <w:proofErr w:type="spellStart"/>
      <w:r w:rsidRPr="00AD75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Calophyllum</w:t>
      </w:r>
      <w:proofErr w:type="spellEnd"/>
      <w:r w:rsidRPr="00AD757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brasiliense</w:t>
      </w:r>
      <w:r w:rsidRPr="00AD75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57C">
        <w:rPr>
          <w:rFonts w:ascii="Times New Roman" w:hAnsi="Times New Roman" w:cs="Times New Roman"/>
          <w:b/>
          <w:bCs/>
          <w:sz w:val="24"/>
          <w:szCs w:val="24"/>
        </w:rPr>
        <w:t>Cambess</w:t>
      </w:r>
      <w:proofErr w:type="spellEnd"/>
      <w:r w:rsidRPr="00AD757C">
        <w:rPr>
          <w:rFonts w:ascii="Times New Roman" w:hAnsi="Times New Roman" w:cs="Times New Roman"/>
          <w:b/>
          <w:bCs/>
          <w:sz w:val="24"/>
          <w:szCs w:val="24"/>
        </w:rPr>
        <w:t>, (Guanandi) em diferentes recipientes</w:t>
      </w:r>
      <w:r w:rsidR="00211E25" w:rsidRPr="00AD757C">
        <w:rPr>
          <w:rFonts w:ascii="Times New Roman" w:hAnsi="Times New Roman" w:cs="Times New Roman"/>
          <w:sz w:val="24"/>
          <w:szCs w:val="24"/>
        </w:rPr>
        <w:t>. 2007. 20p</w:t>
      </w:r>
      <w:r w:rsidRPr="00AD757C">
        <w:rPr>
          <w:rFonts w:ascii="Times New Roman" w:hAnsi="Times New Roman" w:cs="Times New Roman"/>
          <w:sz w:val="24"/>
          <w:szCs w:val="24"/>
        </w:rPr>
        <w:t>. Trabalho de Conclusão de Curso (Graduação em Engenharia Florestal) – Universidade Federal Rura</w:t>
      </w:r>
      <w:r w:rsidR="00211E25" w:rsidRPr="00AD757C">
        <w:rPr>
          <w:rFonts w:ascii="Times New Roman" w:hAnsi="Times New Roman" w:cs="Times New Roman"/>
          <w:sz w:val="24"/>
          <w:szCs w:val="24"/>
        </w:rPr>
        <w:t>l do Rio de Janeiro, Seropédica, 2007.</w:t>
      </w:r>
    </w:p>
    <w:p w:rsidR="007E579A" w:rsidRPr="00AD757C" w:rsidRDefault="007E579A" w:rsidP="007E579A">
      <w:pPr>
        <w:pStyle w:val="Default"/>
        <w:rPr>
          <w:color w:val="auto"/>
        </w:rPr>
      </w:pPr>
      <w:r w:rsidRPr="00AD757C">
        <w:rPr>
          <w:color w:val="auto"/>
          <w:shd w:val="clear" w:color="auto" w:fill="FFFFFF"/>
        </w:rPr>
        <w:t>DIAS, I.M.; BARRETO, I. D. C.; FERREIRA, R. A.</w:t>
      </w:r>
      <w:r w:rsidRPr="00AD757C">
        <w:rPr>
          <w:color w:val="auto"/>
        </w:rPr>
        <w:t xml:space="preserve"> </w:t>
      </w:r>
      <w:r w:rsidRPr="00AD757C">
        <w:rPr>
          <w:bCs/>
          <w:color w:val="auto"/>
        </w:rPr>
        <w:t>E</w:t>
      </w:r>
      <w:r w:rsidRPr="00AD757C">
        <w:rPr>
          <w:bCs/>
          <w:color w:val="auto"/>
        </w:rPr>
        <w:t>feito de diferentes recipientes e dosagens de fertilizante fosfatado no crescimento de espécies florestais nativas.</w:t>
      </w:r>
      <w:r w:rsidR="00FF7C9B" w:rsidRPr="00AD757C">
        <w:rPr>
          <w:bCs/>
          <w:color w:val="auto"/>
        </w:rPr>
        <w:t xml:space="preserve"> </w:t>
      </w:r>
      <w:r w:rsidR="00FF7C9B" w:rsidRPr="00AD757C">
        <w:rPr>
          <w:b/>
          <w:bCs/>
          <w:color w:val="auto"/>
        </w:rPr>
        <w:t>Revista Interdisciplinar de Pesquisa e Inovação</w:t>
      </w:r>
      <w:r w:rsidR="00FF7C9B" w:rsidRPr="00AD757C">
        <w:rPr>
          <w:bCs/>
          <w:color w:val="auto"/>
        </w:rPr>
        <w:t>. São Cristóvão, v. 1, n. 1, p. 1-10, 2015.</w:t>
      </w:r>
      <w:r w:rsidRPr="00AD757C">
        <w:rPr>
          <w:bCs/>
          <w:color w:val="auto"/>
        </w:rPr>
        <w:t xml:space="preserve"> </w:t>
      </w:r>
    </w:p>
    <w:p w:rsidR="006022E7" w:rsidRPr="00AD757C" w:rsidRDefault="004D255C" w:rsidP="00146C3B">
      <w:pPr>
        <w:spacing w:after="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75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ESTENDER, A. C.; LIRA, L. P. B.; ORTIS, R. S.; </w:t>
      </w:r>
      <w:proofErr w:type="gramStart"/>
      <w:r w:rsidRPr="00AD757C">
        <w:rPr>
          <w:rFonts w:ascii="Times New Roman" w:hAnsi="Times New Roman" w:cs="Times New Roman"/>
          <w:sz w:val="24"/>
          <w:szCs w:val="24"/>
          <w:shd w:val="clear" w:color="auto" w:fill="FFFFFF"/>
        </w:rPr>
        <w:t>PITA,</w:t>
      </w:r>
      <w:proofErr w:type="gramEnd"/>
      <w:r w:rsidRPr="00AD75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M. C. G.; JULIANO, M. C. </w:t>
      </w:r>
      <w:r w:rsidR="006022E7" w:rsidRPr="00AD757C">
        <w:rPr>
          <w:rFonts w:ascii="Times New Roman" w:hAnsi="Times New Roman" w:cs="Times New Roman"/>
          <w:sz w:val="24"/>
          <w:szCs w:val="24"/>
        </w:rPr>
        <w:t xml:space="preserve">Gestão ambiental e a Recuperação das áreas Degradadas. In: </w:t>
      </w:r>
      <w:r w:rsidR="005C48FC" w:rsidRPr="00AD757C">
        <w:rPr>
          <w:rFonts w:ascii="Times New Roman" w:hAnsi="Times New Roman" w:cs="Times New Roman"/>
          <w:bCs/>
          <w:sz w:val="24"/>
          <w:szCs w:val="24"/>
        </w:rPr>
        <w:t xml:space="preserve">IX </w:t>
      </w:r>
      <w:r w:rsidR="006022E7" w:rsidRPr="00AD757C">
        <w:rPr>
          <w:rFonts w:ascii="Times New Roman" w:hAnsi="Times New Roman" w:cs="Times New Roman"/>
          <w:bCs/>
          <w:sz w:val="24"/>
          <w:szCs w:val="24"/>
        </w:rPr>
        <w:t>Simpósio de excelê</w:t>
      </w:r>
      <w:r w:rsidR="005C48FC" w:rsidRPr="00AD757C">
        <w:rPr>
          <w:rFonts w:ascii="Times New Roman" w:hAnsi="Times New Roman" w:cs="Times New Roman"/>
          <w:bCs/>
          <w:sz w:val="24"/>
          <w:szCs w:val="24"/>
        </w:rPr>
        <w:t>ncia Gestão e Tecnologia, 2012, Resende, RJ</w:t>
      </w:r>
      <w:r w:rsidR="006022E7" w:rsidRPr="00AD757C">
        <w:rPr>
          <w:rFonts w:ascii="Times New Roman" w:hAnsi="Times New Roman" w:cs="Times New Roman"/>
          <w:sz w:val="24"/>
          <w:szCs w:val="24"/>
        </w:rPr>
        <w:t>.</w:t>
      </w:r>
    </w:p>
    <w:p w:rsidR="006022E7" w:rsidRPr="00AD757C" w:rsidRDefault="006022E7" w:rsidP="00146C3B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57C">
        <w:rPr>
          <w:rFonts w:ascii="Times New Roman" w:hAnsi="Times New Roman" w:cs="Times New Roman"/>
          <w:sz w:val="24"/>
          <w:szCs w:val="24"/>
        </w:rPr>
        <w:t xml:space="preserve">FERRAZ, A. V.; ENGEL, V. L. Efeito do tamanho de tubetes na qualidade de mudas de jatobá </w:t>
      </w:r>
      <w:r w:rsidRPr="00AD757C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AD757C">
        <w:rPr>
          <w:rFonts w:ascii="Times New Roman" w:hAnsi="Times New Roman" w:cs="Times New Roman"/>
          <w:i/>
          <w:iCs/>
          <w:sz w:val="24"/>
          <w:szCs w:val="24"/>
        </w:rPr>
        <w:t>Hymenaea</w:t>
      </w:r>
      <w:proofErr w:type="spellEnd"/>
      <w:r w:rsidRPr="00AD75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D757C">
        <w:rPr>
          <w:rFonts w:ascii="Times New Roman" w:hAnsi="Times New Roman" w:cs="Times New Roman"/>
          <w:i/>
          <w:iCs/>
          <w:sz w:val="24"/>
          <w:szCs w:val="24"/>
        </w:rPr>
        <w:t>Courbaril</w:t>
      </w:r>
      <w:proofErr w:type="spellEnd"/>
      <w:r w:rsidRPr="00AD757C">
        <w:rPr>
          <w:rFonts w:ascii="Times New Roman" w:hAnsi="Times New Roman" w:cs="Times New Roman"/>
          <w:sz w:val="24"/>
          <w:szCs w:val="24"/>
        </w:rPr>
        <w:t xml:space="preserve"> L. </w:t>
      </w:r>
      <w:proofErr w:type="gramStart"/>
      <w:r w:rsidRPr="00AD757C">
        <w:rPr>
          <w:rFonts w:ascii="Times New Roman" w:hAnsi="Times New Roman" w:cs="Times New Roman"/>
          <w:sz w:val="24"/>
          <w:szCs w:val="24"/>
        </w:rPr>
        <w:t>var.</w:t>
      </w:r>
      <w:proofErr w:type="gramEnd"/>
      <w:r w:rsidRPr="00AD7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57C">
        <w:rPr>
          <w:rFonts w:ascii="Times New Roman" w:hAnsi="Times New Roman" w:cs="Times New Roman"/>
          <w:i/>
          <w:sz w:val="24"/>
          <w:szCs w:val="24"/>
        </w:rPr>
        <w:t>stilbocarpa</w:t>
      </w:r>
      <w:proofErr w:type="spellEnd"/>
      <w:r w:rsidRPr="00AD75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D757C">
        <w:rPr>
          <w:rFonts w:ascii="Times New Roman" w:hAnsi="Times New Roman" w:cs="Times New Roman"/>
          <w:sz w:val="24"/>
          <w:szCs w:val="24"/>
        </w:rPr>
        <w:t>Hayne</w:t>
      </w:r>
      <w:proofErr w:type="spellEnd"/>
      <w:r w:rsidRPr="00AD757C">
        <w:rPr>
          <w:rFonts w:ascii="Times New Roman" w:hAnsi="Times New Roman" w:cs="Times New Roman"/>
          <w:sz w:val="24"/>
          <w:szCs w:val="24"/>
        </w:rPr>
        <w:t xml:space="preserve">) Lee </w:t>
      </w:r>
      <w:r w:rsidRPr="00AD757C">
        <w:rPr>
          <w:rFonts w:ascii="Times New Roman" w:hAnsi="Times New Roman" w:cs="Times New Roman"/>
          <w:i/>
          <w:sz w:val="24"/>
          <w:szCs w:val="24"/>
        </w:rPr>
        <w:t>et</w:t>
      </w:r>
      <w:r w:rsidRPr="00AD757C">
        <w:rPr>
          <w:rFonts w:ascii="Times New Roman" w:hAnsi="Times New Roman" w:cs="Times New Roman"/>
          <w:sz w:val="24"/>
          <w:szCs w:val="24"/>
        </w:rPr>
        <w:t xml:space="preserve"> Lang.), ipê-amarelo (</w:t>
      </w:r>
      <w:r w:rsidRPr="00AD757C">
        <w:rPr>
          <w:rFonts w:ascii="Times New Roman" w:hAnsi="Times New Roman" w:cs="Times New Roman"/>
          <w:i/>
          <w:iCs/>
          <w:sz w:val="24"/>
          <w:szCs w:val="24"/>
        </w:rPr>
        <w:t xml:space="preserve">Tabebuia </w:t>
      </w:r>
      <w:proofErr w:type="spellStart"/>
      <w:r w:rsidRPr="00AD757C">
        <w:rPr>
          <w:rFonts w:ascii="Times New Roman" w:hAnsi="Times New Roman" w:cs="Times New Roman"/>
          <w:i/>
          <w:iCs/>
          <w:sz w:val="24"/>
          <w:szCs w:val="24"/>
        </w:rPr>
        <w:t>chrysotricha</w:t>
      </w:r>
      <w:proofErr w:type="spellEnd"/>
      <w:r w:rsidRPr="00AD757C">
        <w:rPr>
          <w:rFonts w:ascii="Times New Roman" w:hAnsi="Times New Roman" w:cs="Times New Roman"/>
          <w:sz w:val="24"/>
          <w:szCs w:val="24"/>
        </w:rPr>
        <w:t xml:space="preserve"> (Mart. </w:t>
      </w:r>
      <w:proofErr w:type="spellStart"/>
      <w:r w:rsidR="00FA5BC0" w:rsidRPr="00AD757C">
        <w:rPr>
          <w:rFonts w:ascii="Times New Roman" w:hAnsi="Times New Roman" w:cs="Times New Roman"/>
          <w:i/>
          <w:sz w:val="24"/>
          <w:szCs w:val="24"/>
        </w:rPr>
        <w:t>e</w:t>
      </w:r>
      <w:r w:rsidRPr="00AD757C">
        <w:rPr>
          <w:rFonts w:ascii="Times New Roman" w:hAnsi="Times New Roman" w:cs="Times New Roman"/>
          <w:i/>
          <w:sz w:val="24"/>
          <w:szCs w:val="24"/>
        </w:rPr>
        <w:t>x</w:t>
      </w:r>
      <w:proofErr w:type="spellEnd"/>
      <w:r w:rsidRPr="00AD757C">
        <w:rPr>
          <w:rFonts w:ascii="Times New Roman" w:hAnsi="Times New Roman" w:cs="Times New Roman"/>
          <w:sz w:val="24"/>
          <w:szCs w:val="24"/>
        </w:rPr>
        <w:t xml:space="preserve"> DC.) </w:t>
      </w:r>
      <w:proofErr w:type="spellStart"/>
      <w:r w:rsidRPr="00AD757C">
        <w:rPr>
          <w:rFonts w:ascii="Times New Roman" w:hAnsi="Times New Roman" w:cs="Times New Roman"/>
          <w:sz w:val="24"/>
          <w:szCs w:val="24"/>
        </w:rPr>
        <w:t>Sandl</w:t>
      </w:r>
      <w:proofErr w:type="spellEnd"/>
      <w:r w:rsidRPr="00AD757C">
        <w:rPr>
          <w:rFonts w:ascii="Times New Roman" w:hAnsi="Times New Roman" w:cs="Times New Roman"/>
          <w:sz w:val="24"/>
          <w:szCs w:val="24"/>
        </w:rPr>
        <w:t xml:space="preserve">.) e </w:t>
      </w:r>
      <w:proofErr w:type="spellStart"/>
      <w:r w:rsidRPr="00AD757C">
        <w:rPr>
          <w:rFonts w:ascii="Times New Roman" w:hAnsi="Times New Roman" w:cs="Times New Roman"/>
          <w:sz w:val="24"/>
          <w:szCs w:val="24"/>
        </w:rPr>
        <w:t>guarucaia</w:t>
      </w:r>
      <w:proofErr w:type="spellEnd"/>
      <w:r w:rsidRPr="00AD75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D757C">
        <w:rPr>
          <w:rFonts w:ascii="Times New Roman" w:hAnsi="Times New Roman" w:cs="Times New Roman"/>
          <w:i/>
          <w:iCs/>
          <w:sz w:val="24"/>
          <w:szCs w:val="24"/>
        </w:rPr>
        <w:t>Parapiptadenia</w:t>
      </w:r>
      <w:proofErr w:type="spellEnd"/>
      <w:r w:rsidRPr="00AD75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D757C">
        <w:rPr>
          <w:rFonts w:ascii="Times New Roman" w:hAnsi="Times New Roman" w:cs="Times New Roman"/>
          <w:i/>
          <w:iCs/>
          <w:sz w:val="24"/>
          <w:szCs w:val="24"/>
        </w:rPr>
        <w:t>rigida</w:t>
      </w:r>
      <w:proofErr w:type="spellEnd"/>
      <w:r w:rsidRPr="00AD75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D757C">
        <w:rPr>
          <w:rFonts w:ascii="Times New Roman" w:hAnsi="Times New Roman" w:cs="Times New Roman"/>
          <w:sz w:val="24"/>
          <w:szCs w:val="24"/>
        </w:rPr>
        <w:t>Benth</w:t>
      </w:r>
      <w:proofErr w:type="spellEnd"/>
      <w:r w:rsidRPr="00AD757C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AD757C">
        <w:rPr>
          <w:rFonts w:ascii="Times New Roman" w:hAnsi="Times New Roman" w:cs="Times New Roman"/>
          <w:sz w:val="24"/>
          <w:szCs w:val="24"/>
        </w:rPr>
        <w:t>Brenan</w:t>
      </w:r>
      <w:proofErr w:type="spellEnd"/>
      <w:r w:rsidRPr="00AD757C">
        <w:rPr>
          <w:rFonts w:ascii="Times New Roman" w:hAnsi="Times New Roman" w:cs="Times New Roman"/>
          <w:sz w:val="24"/>
          <w:szCs w:val="24"/>
        </w:rPr>
        <w:t xml:space="preserve">). </w:t>
      </w:r>
      <w:r w:rsidRPr="00AD757C">
        <w:rPr>
          <w:rFonts w:ascii="Times New Roman" w:hAnsi="Times New Roman" w:cs="Times New Roman"/>
          <w:b/>
          <w:bCs/>
          <w:sz w:val="24"/>
          <w:szCs w:val="24"/>
        </w:rPr>
        <w:t>Revista Árvore</w:t>
      </w:r>
      <w:r w:rsidRPr="00AD757C">
        <w:rPr>
          <w:rFonts w:ascii="Times New Roman" w:hAnsi="Times New Roman" w:cs="Times New Roman"/>
          <w:sz w:val="24"/>
          <w:szCs w:val="24"/>
        </w:rPr>
        <w:t xml:space="preserve">, </w:t>
      </w:r>
      <w:r w:rsidR="005C48FC" w:rsidRPr="00AD757C">
        <w:rPr>
          <w:rFonts w:ascii="Times New Roman" w:hAnsi="Times New Roman" w:cs="Times New Roman"/>
          <w:sz w:val="24"/>
          <w:szCs w:val="24"/>
        </w:rPr>
        <w:t>Viçosa</w:t>
      </w:r>
      <w:r w:rsidR="00AC1005" w:rsidRPr="00AD757C">
        <w:rPr>
          <w:rFonts w:ascii="Times New Roman" w:hAnsi="Times New Roman" w:cs="Times New Roman"/>
          <w:sz w:val="24"/>
          <w:szCs w:val="24"/>
        </w:rPr>
        <w:t xml:space="preserve">, </w:t>
      </w:r>
      <w:r w:rsidRPr="00AD757C">
        <w:rPr>
          <w:rFonts w:ascii="Times New Roman" w:hAnsi="Times New Roman" w:cs="Times New Roman"/>
          <w:sz w:val="24"/>
          <w:szCs w:val="24"/>
        </w:rPr>
        <w:t xml:space="preserve">v. 35, </w:t>
      </w:r>
      <w:r w:rsidR="00AC1005" w:rsidRPr="00AD757C">
        <w:rPr>
          <w:rFonts w:ascii="Times New Roman" w:hAnsi="Times New Roman" w:cs="Times New Roman"/>
          <w:sz w:val="24"/>
          <w:szCs w:val="24"/>
        </w:rPr>
        <w:t>n</w:t>
      </w:r>
      <w:r w:rsidR="005C48FC" w:rsidRPr="00AD757C">
        <w:rPr>
          <w:rFonts w:ascii="Times New Roman" w:hAnsi="Times New Roman" w:cs="Times New Roman"/>
          <w:sz w:val="24"/>
          <w:szCs w:val="24"/>
        </w:rPr>
        <w:t>. 3</w:t>
      </w:r>
      <w:r w:rsidR="00AC1005" w:rsidRPr="00AD757C">
        <w:rPr>
          <w:rFonts w:ascii="Times New Roman" w:hAnsi="Times New Roman" w:cs="Times New Roman"/>
          <w:sz w:val="24"/>
          <w:szCs w:val="24"/>
        </w:rPr>
        <w:t xml:space="preserve">, </w:t>
      </w:r>
      <w:r w:rsidRPr="00AD757C">
        <w:rPr>
          <w:rFonts w:ascii="Times New Roman" w:hAnsi="Times New Roman" w:cs="Times New Roman"/>
          <w:sz w:val="24"/>
          <w:szCs w:val="24"/>
        </w:rPr>
        <w:t xml:space="preserve">p. </w:t>
      </w:r>
      <w:r w:rsidR="005C48FC" w:rsidRPr="00AD757C">
        <w:rPr>
          <w:rFonts w:ascii="Times New Roman" w:hAnsi="Times New Roman" w:cs="Times New Roman"/>
          <w:sz w:val="24"/>
          <w:szCs w:val="24"/>
        </w:rPr>
        <w:t>413-423,</w:t>
      </w:r>
      <w:r w:rsidR="00AC1005" w:rsidRPr="00AD757C">
        <w:rPr>
          <w:rFonts w:ascii="Times New Roman" w:hAnsi="Times New Roman" w:cs="Times New Roman"/>
          <w:sz w:val="24"/>
          <w:szCs w:val="24"/>
        </w:rPr>
        <w:t xml:space="preserve"> </w:t>
      </w:r>
      <w:r w:rsidRPr="00AD757C">
        <w:rPr>
          <w:rFonts w:ascii="Times New Roman" w:hAnsi="Times New Roman" w:cs="Times New Roman"/>
          <w:sz w:val="24"/>
          <w:szCs w:val="24"/>
        </w:rPr>
        <w:t>2011.</w:t>
      </w:r>
    </w:p>
    <w:p w:rsidR="006022E7" w:rsidRPr="00AD757C" w:rsidRDefault="006022E7" w:rsidP="00146C3B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57C">
        <w:rPr>
          <w:rFonts w:ascii="Times New Roman" w:hAnsi="Times New Roman" w:cs="Times New Roman"/>
          <w:sz w:val="24"/>
          <w:szCs w:val="24"/>
        </w:rPr>
        <w:t xml:space="preserve">FONSECA, E.P. </w:t>
      </w:r>
      <w:r w:rsidRPr="00AD757C">
        <w:rPr>
          <w:rFonts w:ascii="Times New Roman" w:hAnsi="Times New Roman" w:cs="Times New Roman"/>
          <w:b/>
          <w:bCs/>
          <w:sz w:val="24"/>
          <w:szCs w:val="24"/>
        </w:rPr>
        <w:t xml:space="preserve">Padrão de qualidade de mudas de </w:t>
      </w:r>
      <w:r w:rsidRPr="00AD757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Trema </w:t>
      </w:r>
      <w:proofErr w:type="spellStart"/>
      <w:r w:rsidRPr="00AD75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micantra</w:t>
      </w:r>
      <w:proofErr w:type="spellEnd"/>
      <w:r w:rsidRPr="00AD757C">
        <w:rPr>
          <w:rFonts w:ascii="Times New Roman" w:hAnsi="Times New Roman" w:cs="Times New Roman"/>
          <w:b/>
          <w:bCs/>
          <w:sz w:val="24"/>
          <w:szCs w:val="24"/>
        </w:rPr>
        <w:t xml:space="preserve"> (L.) </w:t>
      </w:r>
      <w:proofErr w:type="spellStart"/>
      <w:r w:rsidRPr="00AD757C">
        <w:rPr>
          <w:rFonts w:ascii="Times New Roman" w:hAnsi="Times New Roman" w:cs="Times New Roman"/>
          <w:b/>
          <w:bCs/>
          <w:sz w:val="24"/>
          <w:szCs w:val="24"/>
        </w:rPr>
        <w:t>Blume</w:t>
      </w:r>
      <w:proofErr w:type="spellEnd"/>
      <w:r w:rsidRPr="00AD757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proofErr w:type="gramStart"/>
      <w:r w:rsidRPr="00AD75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Cedrela</w:t>
      </w:r>
      <w:proofErr w:type="spellEnd"/>
      <w:proofErr w:type="gramEnd"/>
      <w:r w:rsidRPr="00AD757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AD75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fissilis</w:t>
      </w:r>
      <w:proofErr w:type="spellEnd"/>
      <w:r w:rsidRPr="00AD75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57C">
        <w:rPr>
          <w:rFonts w:ascii="Times New Roman" w:hAnsi="Times New Roman" w:cs="Times New Roman"/>
          <w:b/>
          <w:bCs/>
          <w:sz w:val="24"/>
          <w:szCs w:val="24"/>
        </w:rPr>
        <w:t>Vell</w:t>
      </w:r>
      <w:proofErr w:type="spellEnd"/>
      <w:r w:rsidRPr="00AD757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 w:rsidRPr="00AD757C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gramEnd"/>
      <w:r w:rsidRPr="00AD75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5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Aspisdosperma</w:t>
      </w:r>
      <w:proofErr w:type="spellEnd"/>
      <w:r w:rsidRPr="00AD757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AD75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polyneurom</w:t>
      </w:r>
      <w:proofErr w:type="spellEnd"/>
      <w:r w:rsidRPr="00AD75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57C">
        <w:rPr>
          <w:rFonts w:ascii="Times New Roman" w:hAnsi="Times New Roman" w:cs="Times New Roman"/>
          <w:b/>
          <w:bCs/>
          <w:sz w:val="24"/>
          <w:szCs w:val="24"/>
        </w:rPr>
        <w:t>Müll</w:t>
      </w:r>
      <w:proofErr w:type="spellEnd"/>
      <w:r w:rsidRPr="00AD757C">
        <w:rPr>
          <w:rFonts w:ascii="Times New Roman" w:hAnsi="Times New Roman" w:cs="Times New Roman"/>
          <w:b/>
          <w:bCs/>
          <w:sz w:val="24"/>
          <w:szCs w:val="24"/>
        </w:rPr>
        <w:t xml:space="preserve">. Arg. </w:t>
      </w:r>
      <w:proofErr w:type="gramStart"/>
      <w:r w:rsidRPr="00AD757C">
        <w:rPr>
          <w:rFonts w:ascii="Times New Roman" w:hAnsi="Times New Roman" w:cs="Times New Roman"/>
          <w:b/>
          <w:bCs/>
          <w:sz w:val="24"/>
          <w:szCs w:val="24"/>
        </w:rPr>
        <w:t>produzidas</w:t>
      </w:r>
      <w:proofErr w:type="gramEnd"/>
      <w:r w:rsidRPr="00AD757C">
        <w:rPr>
          <w:rFonts w:ascii="Times New Roman" w:hAnsi="Times New Roman" w:cs="Times New Roman"/>
          <w:b/>
          <w:bCs/>
          <w:sz w:val="24"/>
          <w:szCs w:val="24"/>
        </w:rPr>
        <w:t xml:space="preserve"> sob diferentes períodos de sombreamento</w:t>
      </w:r>
      <w:r w:rsidR="00DB3C41" w:rsidRPr="00AD757C">
        <w:rPr>
          <w:rFonts w:ascii="Times New Roman" w:hAnsi="Times New Roman" w:cs="Times New Roman"/>
          <w:sz w:val="24"/>
          <w:szCs w:val="24"/>
        </w:rPr>
        <w:t xml:space="preserve">. 2000. </w:t>
      </w:r>
      <w:proofErr w:type="gramStart"/>
      <w:r w:rsidR="00DB3C41" w:rsidRPr="00AD757C">
        <w:rPr>
          <w:rFonts w:ascii="Times New Roman" w:hAnsi="Times New Roman" w:cs="Times New Roman"/>
          <w:sz w:val="24"/>
          <w:szCs w:val="24"/>
        </w:rPr>
        <w:t>113P</w:t>
      </w:r>
      <w:proofErr w:type="gramEnd"/>
      <w:r w:rsidRPr="00AD757C">
        <w:rPr>
          <w:rFonts w:ascii="Times New Roman" w:hAnsi="Times New Roman" w:cs="Times New Roman"/>
          <w:sz w:val="24"/>
          <w:szCs w:val="24"/>
        </w:rPr>
        <w:t>. Tese (Doutorado em Produção Vegetal) - Universidade Estadual Paulista, São Paulo</w:t>
      </w:r>
      <w:r w:rsidR="00DB3C41" w:rsidRPr="00AD757C">
        <w:rPr>
          <w:rFonts w:ascii="Times New Roman" w:hAnsi="Times New Roman" w:cs="Times New Roman"/>
          <w:sz w:val="24"/>
          <w:szCs w:val="24"/>
        </w:rPr>
        <w:t>, 2000</w:t>
      </w:r>
      <w:r w:rsidRPr="00AD757C">
        <w:rPr>
          <w:rFonts w:ascii="Times New Roman" w:hAnsi="Times New Roman" w:cs="Times New Roman"/>
          <w:sz w:val="24"/>
          <w:szCs w:val="24"/>
        </w:rPr>
        <w:t>.</w:t>
      </w:r>
    </w:p>
    <w:p w:rsidR="00E3030B" w:rsidRPr="00AD757C" w:rsidRDefault="00B53945" w:rsidP="00146C3B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57C">
        <w:rPr>
          <w:rFonts w:ascii="Times New Roman" w:hAnsi="Times New Roman" w:cs="Times New Roman"/>
          <w:sz w:val="24"/>
          <w:szCs w:val="24"/>
        </w:rPr>
        <w:t>GRANT, C. A.; FLATEN, D. N.; TOMASIEWICZ, D. J</w:t>
      </w:r>
      <w:proofErr w:type="gramStart"/>
      <w:r w:rsidRPr="00AD757C">
        <w:rPr>
          <w:rFonts w:ascii="Times New Roman" w:hAnsi="Times New Roman" w:cs="Times New Roman"/>
          <w:sz w:val="24"/>
          <w:szCs w:val="24"/>
        </w:rPr>
        <w:t>.;</w:t>
      </w:r>
      <w:proofErr w:type="gramEnd"/>
      <w:r w:rsidRPr="00AD757C">
        <w:rPr>
          <w:rFonts w:ascii="Times New Roman" w:hAnsi="Times New Roman" w:cs="Times New Roman"/>
          <w:sz w:val="24"/>
          <w:szCs w:val="24"/>
        </w:rPr>
        <w:t xml:space="preserve"> SHEPPARD, S. C. A importância do fósforo no desenvolvimento inicial da planta. </w:t>
      </w:r>
      <w:r w:rsidRPr="00AD757C">
        <w:rPr>
          <w:rFonts w:ascii="Times New Roman" w:hAnsi="Times New Roman" w:cs="Times New Roman"/>
          <w:b/>
          <w:sz w:val="24"/>
          <w:szCs w:val="24"/>
        </w:rPr>
        <w:t>Informações Agronômicas</w:t>
      </w:r>
      <w:r w:rsidRPr="00AD757C">
        <w:rPr>
          <w:rFonts w:ascii="Times New Roman" w:hAnsi="Times New Roman" w:cs="Times New Roman"/>
          <w:sz w:val="24"/>
          <w:szCs w:val="24"/>
        </w:rPr>
        <w:t xml:space="preserve">, </w:t>
      </w:r>
      <w:r w:rsidR="00E3030B" w:rsidRPr="00AD757C">
        <w:rPr>
          <w:rFonts w:ascii="Times New Roman" w:hAnsi="Times New Roman" w:cs="Times New Roman"/>
          <w:sz w:val="24"/>
          <w:szCs w:val="24"/>
        </w:rPr>
        <w:t>Piracicaba</w:t>
      </w:r>
      <w:r w:rsidR="00E3030B" w:rsidRPr="00AD757C">
        <w:rPr>
          <w:rFonts w:ascii="Times New Roman" w:hAnsi="Times New Roman" w:cs="Times New Roman"/>
          <w:sz w:val="24"/>
          <w:szCs w:val="24"/>
        </w:rPr>
        <w:t xml:space="preserve">, </w:t>
      </w:r>
      <w:r w:rsidRPr="00AD757C">
        <w:rPr>
          <w:rFonts w:ascii="Times New Roman" w:hAnsi="Times New Roman" w:cs="Times New Roman"/>
          <w:sz w:val="24"/>
          <w:szCs w:val="24"/>
        </w:rPr>
        <w:t>n.</w:t>
      </w:r>
      <w:r w:rsidR="00E3030B" w:rsidRPr="00AD757C">
        <w:rPr>
          <w:rFonts w:ascii="Times New Roman" w:hAnsi="Times New Roman" w:cs="Times New Roman"/>
          <w:sz w:val="24"/>
          <w:szCs w:val="24"/>
        </w:rPr>
        <w:t xml:space="preserve"> 95</w:t>
      </w:r>
      <w:r w:rsidRPr="00AD757C">
        <w:rPr>
          <w:rFonts w:ascii="Times New Roman" w:hAnsi="Times New Roman" w:cs="Times New Roman"/>
          <w:sz w:val="24"/>
          <w:szCs w:val="24"/>
        </w:rPr>
        <w:t xml:space="preserve">, </w:t>
      </w:r>
      <w:r w:rsidR="00E3030B" w:rsidRPr="00AD757C">
        <w:rPr>
          <w:rFonts w:ascii="Times New Roman" w:hAnsi="Times New Roman" w:cs="Times New Roman"/>
          <w:sz w:val="24"/>
          <w:szCs w:val="24"/>
        </w:rPr>
        <w:t>p. 1-5, setembro 2001.</w:t>
      </w:r>
    </w:p>
    <w:p w:rsidR="006022E7" w:rsidRPr="00AD757C" w:rsidRDefault="006022E7" w:rsidP="00146C3B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57C">
        <w:rPr>
          <w:rFonts w:ascii="Times New Roman" w:hAnsi="Times New Roman" w:cs="Times New Roman"/>
          <w:sz w:val="24"/>
          <w:szCs w:val="24"/>
        </w:rPr>
        <w:t>JOSÉ, A. C.; DAVIDE, A. C.; OLIVEIRA, S. L. Produção de mudas de aroeira (</w:t>
      </w:r>
      <w:proofErr w:type="spellStart"/>
      <w:r w:rsidRPr="00AD757C">
        <w:rPr>
          <w:rFonts w:ascii="Times New Roman" w:hAnsi="Times New Roman" w:cs="Times New Roman"/>
          <w:i/>
          <w:iCs/>
          <w:sz w:val="24"/>
          <w:szCs w:val="24"/>
        </w:rPr>
        <w:t>Schinus</w:t>
      </w:r>
      <w:proofErr w:type="spellEnd"/>
      <w:r w:rsidRPr="00AD75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D757C">
        <w:rPr>
          <w:rFonts w:ascii="Times New Roman" w:hAnsi="Times New Roman" w:cs="Times New Roman"/>
          <w:i/>
          <w:iCs/>
          <w:sz w:val="24"/>
          <w:szCs w:val="24"/>
        </w:rPr>
        <w:t>terebinthifolius</w:t>
      </w:r>
      <w:proofErr w:type="spellEnd"/>
      <w:r w:rsidRPr="00AD7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57C">
        <w:rPr>
          <w:rFonts w:ascii="Times New Roman" w:hAnsi="Times New Roman" w:cs="Times New Roman"/>
          <w:sz w:val="24"/>
          <w:szCs w:val="24"/>
        </w:rPr>
        <w:t>Raddi</w:t>
      </w:r>
      <w:proofErr w:type="spellEnd"/>
      <w:r w:rsidRPr="00AD757C">
        <w:rPr>
          <w:rFonts w:ascii="Times New Roman" w:hAnsi="Times New Roman" w:cs="Times New Roman"/>
          <w:sz w:val="24"/>
          <w:szCs w:val="24"/>
        </w:rPr>
        <w:t xml:space="preserve">) para recuperação de áreas degradadas pela mineração de bauxita. </w:t>
      </w:r>
      <w:r w:rsidRPr="00AD757C">
        <w:rPr>
          <w:rFonts w:ascii="Times New Roman" w:hAnsi="Times New Roman" w:cs="Times New Roman"/>
          <w:b/>
          <w:bCs/>
          <w:sz w:val="24"/>
          <w:szCs w:val="24"/>
        </w:rPr>
        <w:t>Cerne</w:t>
      </w:r>
      <w:r w:rsidRPr="00AD757C">
        <w:rPr>
          <w:rFonts w:ascii="Times New Roman" w:hAnsi="Times New Roman" w:cs="Times New Roman"/>
          <w:sz w:val="24"/>
          <w:szCs w:val="24"/>
        </w:rPr>
        <w:t xml:space="preserve">, </w:t>
      </w:r>
      <w:r w:rsidR="00E3030B" w:rsidRPr="00AD757C">
        <w:rPr>
          <w:rFonts w:ascii="Times New Roman" w:hAnsi="Times New Roman" w:cs="Times New Roman"/>
          <w:sz w:val="24"/>
          <w:szCs w:val="24"/>
        </w:rPr>
        <w:t>Lavras</w:t>
      </w:r>
      <w:r w:rsidR="00DB3C41" w:rsidRPr="00AD757C">
        <w:rPr>
          <w:rFonts w:ascii="Times New Roman" w:hAnsi="Times New Roman" w:cs="Times New Roman"/>
          <w:sz w:val="24"/>
          <w:szCs w:val="24"/>
        </w:rPr>
        <w:t>,</w:t>
      </w:r>
      <w:r w:rsidR="00DB3C41" w:rsidRPr="00AD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57C">
        <w:rPr>
          <w:rFonts w:ascii="Times New Roman" w:hAnsi="Times New Roman" w:cs="Times New Roman"/>
          <w:sz w:val="24"/>
          <w:szCs w:val="24"/>
        </w:rPr>
        <w:t xml:space="preserve">v. 11, n. 2, p. 187-196, </w:t>
      </w:r>
      <w:r w:rsidR="00E3030B" w:rsidRPr="00AD757C">
        <w:rPr>
          <w:rFonts w:ascii="Times New Roman" w:hAnsi="Times New Roman" w:cs="Times New Roman"/>
          <w:b/>
          <w:sz w:val="24"/>
          <w:szCs w:val="24"/>
        </w:rPr>
        <w:t>abr./jun.</w:t>
      </w:r>
      <w:r w:rsidR="00DB3C41" w:rsidRPr="00AD757C">
        <w:rPr>
          <w:rFonts w:ascii="Times New Roman" w:hAnsi="Times New Roman" w:cs="Times New Roman"/>
          <w:sz w:val="24"/>
          <w:szCs w:val="24"/>
        </w:rPr>
        <w:t xml:space="preserve"> </w:t>
      </w:r>
      <w:r w:rsidRPr="00AD757C">
        <w:rPr>
          <w:rFonts w:ascii="Times New Roman" w:hAnsi="Times New Roman" w:cs="Times New Roman"/>
          <w:sz w:val="24"/>
          <w:szCs w:val="24"/>
        </w:rPr>
        <w:t>2005.</w:t>
      </w:r>
    </w:p>
    <w:p w:rsidR="006022E7" w:rsidRPr="00AD757C" w:rsidRDefault="00D15B3B" w:rsidP="00146C3B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5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MELOTTO, A.; NICODEMO, M. L.; BOCCHESE, R. A.; LAURA, V. A.; GONTIJO-NETO, M; M.; SCHLEDER, D. </w:t>
      </w:r>
      <w:proofErr w:type="gramStart"/>
      <w:r w:rsidRPr="00AD757C">
        <w:rPr>
          <w:rFonts w:ascii="Times New Roman" w:hAnsi="Times New Roman" w:cs="Times New Roman"/>
          <w:sz w:val="24"/>
          <w:szCs w:val="24"/>
          <w:shd w:val="clear" w:color="auto" w:fill="FFFFFF"/>
        </w:rPr>
        <w:t>D.</w:t>
      </w:r>
      <w:proofErr w:type="gramEnd"/>
      <w:r w:rsidRPr="00AD757C">
        <w:rPr>
          <w:rFonts w:ascii="Times New Roman" w:hAnsi="Times New Roman" w:cs="Times New Roman"/>
          <w:sz w:val="24"/>
          <w:szCs w:val="24"/>
          <w:shd w:val="clear" w:color="auto" w:fill="FFFFFF"/>
        </w:rPr>
        <w:t>; PORTT, A.; S</w:t>
      </w:r>
      <w:r w:rsidR="005E541B" w:rsidRPr="00AD757C">
        <w:rPr>
          <w:rFonts w:ascii="Times New Roman" w:hAnsi="Times New Roman" w:cs="Times New Roman"/>
          <w:sz w:val="24"/>
          <w:szCs w:val="24"/>
          <w:shd w:val="clear" w:color="auto" w:fill="FFFFFF"/>
        </w:rPr>
        <w:t>ILVA</w:t>
      </w:r>
      <w:r w:rsidRPr="00AD757C">
        <w:rPr>
          <w:rFonts w:ascii="Times New Roman" w:hAnsi="Times New Roman" w:cs="Times New Roman"/>
          <w:sz w:val="24"/>
          <w:szCs w:val="24"/>
          <w:shd w:val="clear" w:color="auto" w:fill="FFFFFF"/>
        </w:rPr>
        <w:t>, V</w:t>
      </w:r>
      <w:r w:rsidR="005E541B" w:rsidRPr="00AD75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P.</w:t>
      </w:r>
      <w:r w:rsidR="006022E7" w:rsidRPr="00AD757C">
        <w:rPr>
          <w:rFonts w:ascii="Times New Roman" w:hAnsi="Times New Roman" w:cs="Times New Roman"/>
          <w:sz w:val="24"/>
          <w:szCs w:val="24"/>
        </w:rPr>
        <w:t xml:space="preserve"> Sobrevivência e crescimento em campo de espécies florestais nativas do Brasil central indicadas para sistemas </w:t>
      </w:r>
      <w:proofErr w:type="spellStart"/>
      <w:r w:rsidR="006022E7" w:rsidRPr="00AD757C">
        <w:rPr>
          <w:rFonts w:ascii="Times New Roman" w:hAnsi="Times New Roman" w:cs="Times New Roman"/>
          <w:sz w:val="24"/>
          <w:szCs w:val="24"/>
        </w:rPr>
        <w:t>silvipastoris</w:t>
      </w:r>
      <w:proofErr w:type="spellEnd"/>
      <w:r w:rsidR="006022E7" w:rsidRPr="00AD757C">
        <w:rPr>
          <w:rFonts w:ascii="Times New Roman" w:hAnsi="Times New Roman" w:cs="Times New Roman"/>
          <w:sz w:val="24"/>
          <w:szCs w:val="24"/>
        </w:rPr>
        <w:t xml:space="preserve">. </w:t>
      </w:r>
      <w:r w:rsidR="006022E7" w:rsidRPr="00AD757C">
        <w:rPr>
          <w:rFonts w:ascii="Times New Roman" w:hAnsi="Times New Roman" w:cs="Times New Roman"/>
          <w:b/>
          <w:bCs/>
          <w:sz w:val="24"/>
          <w:szCs w:val="24"/>
        </w:rPr>
        <w:t>Revista Árvore</w:t>
      </w:r>
      <w:r w:rsidR="006022E7" w:rsidRPr="00AD757C">
        <w:rPr>
          <w:rFonts w:ascii="Times New Roman" w:hAnsi="Times New Roman" w:cs="Times New Roman"/>
          <w:sz w:val="24"/>
          <w:szCs w:val="24"/>
        </w:rPr>
        <w:t xml:space="preserve">, </w:t>
      </w:r>
      <w:r w:rsidR="00532B4B" w:rsidRPr="00AD757C">
        <w:rPr>
          <w:rFonts w:ascii="Times New Roman" w:hAnsi="Times New Roman" w:cs="Times New Roman"/>
          <w:sz w:val="24"/>
          <w:szCs w:val="24"/>
        </w:rPr>
        <w:t>Viçosa</w:t>
      </w:r>
      <w:r w:rsidR="005E541B" w:rsidRPr="00AD757C">
        <w:rPr>
          <w:rFonts w:ascii="Times New Roman" w:hAnsi="Times New Roman" w:cs="Times New Roman"/>
          <w:sz w:val="24"/>
          <w:szCs w:val="24"/>
        </w:rPr>
        <w:t xml:space="preserve">, </w:t>
      </w:r>
      <w:r w:rsidR="006022E7" w:rsidRPr="00AD757C">
        <w:rPr>
          <w:rFonts w:ascii="Times New Roman" w:hAnsi="Times New Roman" w:cs="Times New Roman"/>
          <w:sz w:val="24"/>
          <w:szCs w:val="24"/>
        </w:rPr>
        <w:t>v. 33, p. 425-432, 2009.</w:t>
      </w:r>
    </w:p>
    <w:p w:rsidR="006022E7" w:rsidRPr="00AD757C" w:rsidRDefault="0023371D" w:rsidP="00146C3B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57C">
        <w:rPr>
          <w:rFonts w:ascii="Times New Roman" w:hAnsi="Times New Roman" w:cs="Times New Roman"/>
          <w:sz w:val="24"/>
          <w:szCs w:val="24"/>
          <w:shd w:val="clear" w:color="auto" w:fill="FFFFFF"/>
        </w:rPr>
        <w:t>SARAIVA</w:t>
      </w:r>
      <w:r w:rsidR="00CB4CEF" w:rsidRPr="00AD757C">
        <w:rPr>
          <w:rFonts w:ascii="Times New Roman" w:hAnsi="Times New Roman" w:cs="Times New Roman"/>
          <w:sz w:val="24"/>
          <w:szCs w:val="24"/>
          <w:shd w:val="clear" w:color="auto" w:fill="FFFFFF"/>
        </w:rPr>
        <w:t>, K. R.;</w:t>
      </w:r>
      <w:r w:rsidRPr="00AD75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NASCIMENTO</w:t>
      </w:r>
      <w:r w:rsidR="00CB4CEF" w:rsidRPr="00AD757C">
        <w:rPr>
          <w:rFonts w:ascii="Times New Roman" w:hAnsi="Times New Roman" w:cs="Times New Roman"/>
          <w:sz w:val="24"/>
          <w:szCs w:val="24"/>
          <w:shd w:val="clear" w:color="auto" w:fill="FFFFFF"/>
        </w:rPr>
        <w:t>, R. S.;</w:t>
      </w:r>
      <w:r w:rsidRPr="00AD75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SALES, F. A. L.</w:t>
      </w:r>
      <w:r w:rsidR="00CB4CEF" w:rsidRPr="00AD757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AD75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ARAÚJO</w:t>
      </w:r>
      <w:r w:rsidR="00CB4CEF" w:rsidRPr="00AD757C">
        <w:rPr>
          <w:rFonts w:ascii="Times New Roman" w:hAnsi="Times New Roman" w:cs="Times New Roman"/>
          <w:sz w:val="24"/>
          <w:szCs w:val="24"/>
          <w:shd w:val="clear" w:color="auto" w:fill="FFFFFF"/>
        </w:rPr>
        <w:t>, H. F.;</w:t>
      </w:r>
      <w:r w:rsidRPr="00AD75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FERNANDES, C. N. V.</w:t>
      </w:r>
      <w:r w:rsidR="00CB4CEF" w:rsidRPr="00AD757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AD75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LIMA, A. D</w:t>
      </w:r>
      <w:r w:rsidR="006022E7" w:rsidRPr="00AD757C">
        <w:rPr>
          <w:rFonts w:ascii="Times New Roman" w:hAnsi="Times New Roman" w:cs="Times New Roman"/>
          <w:sz w:val="24"/>
          <w:szCs w:val="24"/>
        </w:rPr>
        <w:t xml:space="preserve">. Produção de mudas de mamoeiro </w:t>
      </w:r>
      <w:proofErr w:type="gramStart"/>
      <w:r w:rsidR="006022E7" w:rsidRPr="00AD757C">
        <w:rPr>
          <w:rFonts w:ascii="Times New Roman" w:hAnsi="Times New Roman" w:cs="Times New Roman"/>
          <w:sz w:val="24"/>
          <w:szCs w:val="24"/>
        </w:rPr>
        <w:t>sob doses</w:t>
      </w:r>
      <w:proofErr w:type="gramEnd"/>
      <w:r w:rsidR="006022E7" w:rsidRPr="00AD757C">
        <w:rPr>
          <w:rFonts w:ascii="Times New Roman" w:hAnsi="Times New Roman" w:cs="Times New Roman"/>
          <w:sz w:val="24"/>
          <w:szCs w:val="24"/>
        </w:rPr>
        <w:t xml:space="preserve"> de adubação fosfatada utilizando como fonte Superfosfato Simples. </w:t>
      </w:r>
      <w:r w:rsidR="006022E7" w:rsidRPr="00AD757C">
        <w:rPr>
          <w:rFonts w:ascii="Times New Roman" w:hAnsi="Times New Roman" w:cs="Times New Roman"/>
          <w:b/>
          <w:bCs/>
          <w:sz w:val="24"/>
          <w:szCs w:val="24"/>
        </w:rPr>
        <w:t>Revista Brasileira de Agricultura Irrigada</w:t>
      </w:r>
      <w:r w:rsidR="006022E7" w:rsidRPr="00AD757C">
        <w:rPr>
          <w:rFonts w:ascii="Times New Roman" w:hAnsi="Times New Roman" w:cs="Times New Roman"/>
          <w:sz w:val="24"/>
          <w:szCs w:val="24"/>
        </w:rPr>
        <w:t xml:space="preserve">, </w:t>
      </w:r>
      <w:r w:rsidR="00C10B76" w:rsidRPr="00AD757C">
        <w:rPr>
          <w:rFonts w:ascii="Times New Roman" w:hAnsi="Times New Roman" w:cs="Times New Roman"/>
          <w:sz w:val="24"/>
          <w:szCs w:val="24"/>
        </w:rPr>
        <w:t>Fortaleza</w:t>
      </w:r>
      <w:r w:rsidR="005E541B" w:rsidRPr="00AD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22E7" w:rsidRPr="00AD757C">
        <w:rPr>
          <w:rFonts w:ascii="Times New Roman" w:hAnsi="Times New Roman" w:cs="Times New Roman"/>
          <w:sz w:val="24"/>
          <w:szCs w:val="24"/>
        </w:rPr>
        <w:t xml:space="preserve">v. 5, </w:t>
      </w:r>
      <w:r w:rsidR="00C10B76" w:rsidRPr="00AD757C">
        <w:rPr>
          <w:rFonts w:ascii="Times New Roman" w:hAnsi="Times New Roman" w:cs="Times New Roman"/>
          <w:sz w:val="24"/>
          <w:szCs w:val="24"/>
        </w:rPr>
        <w:t>n. 4</w:t>
      </w:r>
      <w:r w:rsidR="005E541B" w:rsidRPr="00AD757C">
        <w:rPr>
          <w:rFonts w:ascii="Times New Roman" w:hAnsi="Times New Roman" w:cs="Times New Roman"/>
          <w:sz w:val="24"/>
          <w:szCs w:val="24"/>
        </w:rPr>
        <w:t xml:space="preserve">, </w:t>
      </w:r>
      <w:r w:rsidR="00C10B76" w:rsidRPr="00AD757C">
        <w:rPr>
          <w:rFonts w:ascii="Times New Roman" w:hAnsi="Times New Roman" w:cs="Times New Roman"/>
          <w:sz w:val="24"/>
          <w:szCs w:val="24"/>
        </w:rPr>
        <w:t>p. 376-383</w:t>
      </w:r>
      <w:r w:rsidR="005E541B" w:rsidRPr="00AD757C">
        <w:rPr>
          <w:rFonts w:ascii="Times New Roman" w:hAnsi="Times New Roman" w:cs="Times New Roman"/>
          <w:sz w:val="24"/>
          <w:szCs w:val="24"/>
        </w:rPr>
        <w:t xml:space="preserve">, </w:t>
      </w:r>
      <w:r w:rsidR="006022E7" w:rsidRPr="00AD757C">
        <w:rPr>
          <w:rFonts w:ascii="Times New Roman" w:hAnsi="Times New Roman" w:cs="Times New Roman"/>
          <w:sz w:val="24"/>
          <w:szCs w:val="24"/>
        </w:rPr>
        <w:t>2011.</w:t>
      </w:r>
    </w:p>
    <w:p w:rsidR="006022E7" w:rsidRPr="00AD757C" w:rsidRDefault="00E3030B" w:rsidP="00E30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757C">
        <w:rPr>
          <w:rFonts w:ascii="Times New Roman" w:eastAsia="Times New Roman" w:hAnsi="Times New Roman" w:cs="Times New Roman"/>
          <w:sz w:val="24"/>
          <w:szCs w:val="24"/>
          <w:lang w:eastAsia="pt-BR"/>
        </w:rPr>
        <w:t>SCREMIN-DIAS, E</w:t>
      </w:r>
      <w:proofErr w:type="gramStart"/>
      <w:r w:rsidRPr="00AD757C">
        <w:rPr>
          <w:rFonts w:ascii="Times New Roman" w:eastAsia="Times New Roman" w:hAnsi="Times New Roman" w:cs="Times New Roman"/>
          <w:sz w:val="24"/>
          <w:szCs w:val="24"/>
          <w:lang w:eastAsia="pt-BR"/>
        </w:rPr>
        <w:t>.;</w:t>
      </w:r>
      <w:proofErr w:type="gramEnd"/>
      <w:r w:rsidRPr="00AD75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KALIFE, C.; MENEGUCCI, Z. D. R. H.; SOUZA, P. R. D. </w:t>
      </w:r>
      <w:r w:rsidRPr="00AD757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Produção de mudas</w:t>
      </w:r>
      <w:r w:rsidR="00C10B76" w:rsidRPr="00AD757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espécies florestais nativas</w:t>
      </w:r>
      <w:r w:rsidRPr="00AD757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: manual:</w:t>
      </w:r>
      <w:r w:rsidRPr="00AD757C">
        <w:rPr>
          <w:rFonts w:ascii="Times New Roman" w:eastAsia="Times New Roman" w:hAnsi="Times New Roman" w:cs="Times New Roman"/>
          <w:spacing w:val="-15"/>
          <w:sz w:val="24"/>
          <w:szCs w:val="24"/>
          <w:lang w:eastAsia="pt-BR"/>
        </w:rPr>
        <w:t xml:space="preserve"> Rede de sementes do </w:t>
      </w:r>
      <w:r w:rsidRPr="00AD757C">
        <w:rPr>
          <w:rFonts w:ascii="Times New Roman" w:eastAsia="Times New Roman" w:hAnsi="Times New Roman" w:cs="Times New Roman"/>
          <w:sz w:val="24"/>
          <w:szCs w:val="24"/>
          <w:lang w:eastAsia="pt-BR"/>
        </w:rPr>
        <w:t>Pantanal. Campo Grande - MS: Ed. UFMS, v.2. 59p, 2006.</w:t>
      </w:r>
      <w:bookmarkStart w:id="0" w:name="_GoBack"/>
      <w:bookmarkEnd w:id="0"/>
    </w:p>
    <w:sectPr w:rsidR="006022E7" w:rsidRPr="00AD757C" w:rsidSect="0050419F">
      <w:footerReference w:type="default" r:id="rId8"/>
      <w:pgSz w:w="11906" w:h="16838"/>
      <w:pgMar w:top="1418" w:right="1418" w:bottom="1418" w:left="1418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543" w:rsidRDefault="00321543" w:rsidP="00E51E00">
      <w:pPr>
        <w:spacing w:after="0" w:line="240" w:lineRule="auto"/>
      </w:pPr>
      <w:r>
        <w:separator/>
      </w:r>
    </w:p>
  </w:endnote>
  <w:endnote w:type="continuationSeparator" w:id="0">
    <w:p w:rsidR="00321543" w:rsidRDefault="00321543" w:rsidP="00E51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2E7" w:rsidRDefault="00BA227C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7C0527">
      <w:rPr>
        <w:noProof/>
      </w:rPr>
      <w:t>11</w:t>
    </w:r>
    <w:r>
      <w:rPr>
        <w:noProof/>
      </w:rPr>
      <w:fldChar w:fldCharType="end"/>
    </w:r>
  </w:p>
  <w:p w:rsidR="006022E7" w:rsidRDefault="006022E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543" w:rsidRDefault="00321543" w:rsidP="00E51E00">
      <w:pPr>
        <w:spacing w:after="0" w:line="240" w:lineRule="auto"/>
      </w:pPr>
      <w:r>
        <w:separator/>
      </w:r>
    </w:p>
  </w:footnote>
  <w:footnote w:type="continuationSeparator" w:id="0">
    <w:p w:rsidR="00321543" w:rsidRDefault="00321543" w:rsidP="00E51E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24"/>
    <w:rsid w:val="00005CDE"/>
    <w:rsid w:val="000075A8"/>
    <w:rsid w:val="00010B9A"/>
    <w:rsid w:val="00013D12"/>
    <w:rsid w:val="0001486F"/>
    <w:rsid w:val="00024B22"/>
    <w:rsid w:val="00027601"/>
    <w:rsid w:val="0003083D"/>
    <w:rsid w:val="000358C1"/>
    <w:rsid w:val="00037C3F"/>
    <w:rsid w:val="000415A9"/>
    <w:rsid w:val="000436DC"/>
    <w:rsid w:val="00050A1D"/>
    <w:rsid w:val="00061F73"/>
    <w:rsid w:val="00074DF7"/>
    <w:rsid w:val="00075B81"/>
    <w:rsid w:val="00076AFA"/>
    <w:rsid w:val="0008232E"/>
    <w:rsid w:val="000831C9"/>
    <w:rsid w:val="00085337"/>
    <w:rsid w:val="000A0460"/>
    <w:rsid w:val="000A20E4"/>
    <w:rsid w:val="000B5BBE"/>
    <w:rsid w:val="000C6B35"/>
    <w:rsid w:val="000D5AE1"/>
    <w:rsid w:val="000F0246"/>
    <w:rsid w:val="001004E6"/>
    <w:rsid w:val="0012165C"/>
    <w:rsid w:val="001225B4"/>
    <w:rsid w:val="00140C3C"/>
    <w:rsid w:val="00143174"/>
    <w:rsid w:val="00146C3B"/>
    <w:rsid w:val="00150998"/>
    <w:rsid w:val="00157292"/>
    <w:rsid w:val="00157EFB"/>
    <w:rsid w:val="00162FC4"/>
    <w:rsid w:val="0016638C"/>
    <w:rsid w:val="00170CBF"/>
    <w:rsid w:val="001830DB"/>
    <w:rsid w:val="00190954"/>
    <w:rsid w:val="001A1E3D"/>
    <w:rsid w:val="001A3054"/>
    <w:rsid w:val="001D4C9E"/>
    <w:rsid w:val="001E2382"/>
    <w:rsid w:val="001E34C4"/>
    <w:rsid w:val="001F572B"/>
    <w:rsid w:val="002013F9"/>
    <w:rsid w:val="002073EF"/>
    <w:rsid w:val="00211E25"/>
    <w:rsid w:val="002154E8"/>
    <w:rsid w:val="00216875"/>
    <w:rsid w:val="002227CB"/>
    <w:rsid w:val="002314F2"/>
    <w:rsid w:val="0023371D"/>
    <w:rsid w:val="00234676"/>
    <w:rsid w:val="0023522E"/>
    <w:rsid w:val="00241E33"/>
    <w:rsid w:val="00244B5D"/>
    <w:rsid w:val="00270EFC"/>
    <w:rsid w:val="002A094B"/>
    <w:rsid w:val="002A0CD1"/>
    <w:rsid w:val="002A27D3"/>
    <w:rsid w:val="002B5063"/>
    <w:rsid w:val="002D1FB3"/>
    <w:rsid w:val="002D55F3"/>
    <w:rsid w:val="002D5BEC"/>
    <w:rsid w:val="002F2C70"/>
    <w:rsid w:val="002F5049"/>
    <w:rsid w:val="002F7A04"/>
    <w:rsid w:val="0030180F"/>
    <w:rsid w:val="00311394"/>
    <w:rsid w:val="00317F97"/>
    <w:rsid w:val="00321543"/>
    <w:rsid w:val="00326B85"/>
    <w:rsid w:val="00330973"/>
    <w:rsid w:val="003321C3"/>
    <w:rsid w:val="00336B96"/>
    <w:rsid w:val="00343044"/>
    <w:rsid w:val="00360C39"/>
    <w:rsid w:val="00365DC1"/>
    <w:rsid w:val="00377AF0"/>
    <w:rsid w:val="00394E66"/>
    <w:rsid w:val="003A0A4C"/>
    <w:rsid w:val="003B5541"/>
    <w:rsid w:val="003B6464"/>
    <w:rsid w:val="003C4A2F"/>
    <w:rsid w:val="003C73AD"/>
    <w:rsid w:val="003E749C"/>
    <w:rsid w:val="003F061E"/>
    <w:rsid w:val="00406D25"/>
    <w:rsid w:val="00411D03"/>
    <w:rsid w:val="00412F19"/>
    <w:rsid w:val="00420F5E"/>
    <w:rsid w:val="00426278"/>
    <w:rsid w:val="004514CC"/>
    <w:rsid w:val="00455B8F"/>
    <w:rsid w:val="004678B1"/>
    <w:rsid w:val="00474E30"/>
    <w:rsid w:val="0047762E"/>
    <w:rsid w:val="00480B7C"/>
    <w:rsid w:val="004817FC"/>
    <w:rsid w:val="004B1BCB"/>
    <w:rsid w:val="004C4FEA"/>
    <w:rsid w:val="004D255C"/>
    <w:rsid w:val="004D3013"/>
    <w:rsid w:val="004D4623"/>
    <w:rsid w:val="004D4A20"/>
    <w:rsid w:val="004D6402"/>
    <w:rsid w:val="004F5448"/>
    <w:rsid w:val="00501900"/>
    <w:rsid w:val="00502649"/>
    <w:rsid w:val="0050419F"/>
    <w:rsid w:val="00504CC1"/>
    <w:rsid w:val="00504E49"/>
    <w:rsid w:val="00505006"/>
    <w:rsid w:val="00506FE0"/>
    <w:rsid w:val="00532B4B"/>
    <w:rsid w:val="00533E92"/>
    <w:rsid w:val="00544B68"/>
    <w:rsid w:val="00550CF0"/>
    <w:rsid w:val="0058059D"/>
    <w:rsid w:val="0059104F"/>
    <w:rsid w:val="00593433"/>
    <w:rsid w:val="005959AC"/>
    <w:rsid w:val="005A634D"/>
    <w:rsid w:val="005B4090"/>
    <w:rsid w:val="005C1B9C"/>
    <w:rsid w:val="005C48FC"/>
    <w:rsid w:val="005C6B39"/>
    <w:rsid w:val="005C7169"/>
    <w:rsid w:val="005D0635"/>
    <w:rsid w:val="005D2CE6"/>
    <w:rsid w:val="005D3179"/>
    <w:rsid w:val="005E541B"/>
    <w:rsid w:val="005F374C"/>
    <w:rsid w:val="005F4776"/>
    <w:rsid w:val="0060030C"/>
    <w:rsid w:val="006022E7"/>
    <w:rsid w:val="00602B3D"/>
    <w:rsid w:val="00607703"/>
    <w:rsid w:val="00611FF3"/>
    <w:rsid w:val="00623588"/>
    <w:rsid w:val="0063391E"/>
    <w:rsid w:val="00653C5A"/>
    <w:rsid w:val="00676D30"/>
    <w:rsid w:val="006806ED"/>
    <w:rsid w:val="006909A9"/>
    <w:rsid w:val="00695D4E"/>
    <w:rsid w:val="00696A79"/>
    <w:rsid w:val="006A1819"/>
    <w:rsid w:val="006C1EE3"/>
    <w:rsid w:val="006C59C6"/>
    <w:rsid w:val="006C6068"/>
    <w:rsid w:val="006D2EBB"/>
    <w:rsid w:val="006D3815"/>
    <w:rsid w:val="006D527C"/>
    <w:rsid w:val="006E4442"/>
    <w:rsid w:val="006F1AAD"/>
    <w:rsid w:val="007014A5"/>
    <w:rsid w:val="00701DC2"/>
    <w:rsid w:val="007225A7"/>
    <w:rsid w:val="007377AE"/>
    <w:rsid w:val="007436AF"/>
    <w:rsid w:val="00766762"/>
    <w:rsid w:val="00766854"/>
    <w:rsid w:val="0077510A"/>
    <w:rsid w:val="007838C7"/>
    <w:rsid w:val="007922F0"/>
    <w:rsid w:val="00797F5E"/>
    <w:rsid w:val="007C0527"/>
    <w:rsid w:val="007D75C2"/>
    <w:rsid w:val="007D7FF8"/>
    <w:rsid w:val="007E579A"/>
    <w:rsid w:val="007F0DC0"/>
    <w:rsid w:val="007F2ABA"/>
    <w:rsid w:val="00803568"/>
    <w:rsid w:val="00804F85"/>
    <w:rsid w:val="0082353E"/>
    <w:rsid w:val="008261B4"/>
    <w:rsid w:val="00846414"/>
    <w:rsid w:val="00856794"/>
    <w:rsid w:val="00864DAE"/>
    <w:rsid w:val="0086617F"/>
    <w:rsid w:val="008A0AAF"/>
    <w:rsid w:val="008A2C4B"/>
    <w:rsid w:val="008B3A7C"/>
    <w:rsid w:val="008B66EA"/>
    <w:rsid w:val="008C6F6B"/>
    <w:rsid w:val="008C7D3B"/>
    <w:rsid w:val="008E3B69"/>
    <w:rsid w:val="008F5EEF"/>
    <w:rsid w:val="008F65FA"/>
    <w:rsid w:val="008F6612"/>
    <w:rsid w:val="008F73E0"/>
    <w:rsid w:val="00900568"/>
    <w:rsid w:val="009016F0"/>
    <w:rsid w:val="00901FBD"/>
    <w:rsid w:val="00905809"/>
    <w:rsid w:val="00930255"/>
    <w:rsid w:val="0094195F"/>
    <w:rsid w:val="009516A4"/>
    <w:rsid w:val="0096658D"/>
    <w:rsid w:val="00971DE3"/>
    <w:rsid w:val="00973DFA"/>
    <w:rsid w:val="009749CE"/>
    <w:rsid w:val="00991C80"/>
    <w:rsid w:val="0099290A"/>
    <w:rsid w:val="00997EFB"/>
    <w:rsid w:val="009A5DDA"/>
    <w:rsid w:val="009B1176"/>
    <w:rsid w:val="009C6AD2"/>
    <w:rsid w:val="00A00468"/>
    <w:rsid w:val="00A005D0"/>
    <w:rsid w:val="00A0748A"/>
    <w:rsid w:val="00A11235"/>
    <w:rsid w:val="00A121E6"/>
    <w:rsid w:val="00A13C02"/>
    <w:rsid w:val="00A209D6"/>
    <w:rsid w:val="00A2399E"/>
    <w:rsid w:val="00A25DB7"/>
    <w:rsid w:val="00A37A62"/>
    <w:rsid w:val="00A421B3"/>
    <w:rsid w:val="00A44FAF"/>
    <w:rsid w:val="00A464A1"/>
    <w:rsid w:val="00A5204D"/>
    <w:rsid w:val="00A526F3"/>
    <w:rsid w:val="00A6004B"/>
    <w:rsid w:val="00A60974"/>
    <w:rsid w:val="00A65DFD"/>
    <w:rsid w:val="00A724BD"/>
    <w:rsid w:val="00A74865"/>
    <w:rsid w:val="00A75018"/>
    <w:rsid w:val="00A82924"/>
    <w:rsid w:val="00A83766"/>
    <w:rsid w:val="00A8602E"/>
    <w:rsid w:val="00A94E14"/>
    <w:rsid w:val="00A97113"/>
    <w:rsid w:val="00AA599A"/>
    <w:rsid w:val="00AB4476"/>
    <w:rsid w:val="00AB7D5B"/>
    <w:rsid w:val="00AC1005"/>
    <w:rsid w:val="00AD380F"/>
    <w:rsid w:val="00AD757C"/>
    <w:rsid w:val="00B05CD0"/>
    <w:rsid w:val="00B1167B"/>
    <w:rsid w:val="00B11DA9"/>
    <w:rsid w:val="00B126F0"/>
    <w:rsid w:val="00B230FC"/>
    <w:rsid w:val="00B25DB6"/>
    <w:rsid w:val="00B32CCF"/>
    <w:rsid w:val="00B43A42"/>
    <w:rsid w:val="00B47755"/>
    <w:rsid w:val="00B53945"/>
    <w:rsid w:val="00B53FFB"/>
    <w:rsid w:val="00B57607"/>
    <w:rsid w:val="00B57CF9"/>
    <w:rsid w:val="00B60B42"/>
    <w:rsid w:val="00B63549"/>
    <w:rsid w:val="00B63700"/>
    <w:rsid w:val="00B66FB3"/>
    <w:rsid w:val="00B71234"/>
    <w:rsid w:val="00B74B4F"/>
    <w:rsid w:val="00B82ECB"/>
    <w:rsid w:val="00B97F9B"/>
    <w:rsid w:val="00BA204E"/>
    <w:rsid w:val="00BA227C"/>
    <w:rsid w:val="00BA5281"/>
    <w:rsid w:val="00BA5706"/>
    <w:rsid w:val="00BC1D43"/>
    <w:rsid w:val="00BC2634"/>
    <w:rsid w:val="00BE0313"/>
    <w:rsid w:val="00C0762A"/>
    <w:rsid w:val="00C10B76"/>
    <w:rsid w:val="00C16572"/>
    <w:rsid w:val="00C17425"/>
    <w:rsid w:val="00C22A48"/>
    <w:rsid w:val="00C344C6"/>
    <w:rsid w:val="00C345F7"/>
    <w:rsid w:val="00C420D6"/>
    <w:rsid w:val="00C5660B"/>
    <w:rsid w:val="00C64A98"/>
    <w:rsid w:val="00C702A2"/>
    <w:rsid w:val="00C705A0"/>
    <w:rsid w:val="00C71B26"/>
    <w:rsid w:val="00C82B92"/>
    <w:rsid w:val="00C85AC7"/>
    <w:rsid w:val="00C87577"/>
    <w:rsid w:val="00C90A15"/>
    <w:rsid w:val="00C91E00"/>
    <w:rsid w:val="00CA04FE"/>
    <w:rsid w:val="00CA22AA"/>
    <w:rsid w:val="00CB35AA"/>
    <w:rsid w:val="00CB3D35"/>
    <w:rsid w:val="00CB4CEF"/>
    <w:rsid w:val="00CB7D9E"/>
    <w:rsid w:val="00CD2ED1"/>
    <w:rsid w:val="00CF4556"/>
    <w:rsid w:val="00D016A3"/>
    <w:rsid w:val="00D03507"/>
    <w:rsid w:val="00D10922"/>
    <w:rsid w:val="00D15B3B"/>
    <w:rsid w:val="00D17C2A"/>
    <w:rsid w:val="00D27B4B"/>
    <w:rsid w:val="00D3128C"/>
    <w:rsid w:val="00D43E6F"/>
    <w:rsid w:val="00D442BA"/>
    <w:rsid w:val="00D54E53"/>
    <w:rsid w:val="00D616C7"/>
    <w:rsid w:val="00D61FDE"/>
    <w:rsid w:val="00D66CAE"/>
    <w:rsid w:val="00D707A8"/>
    <w:rsid w:val="00D80FEF"/>
    <w:rsid w:val="00D827D0"/>
    <w:rsid w:val="00D836D3"/>
    <w:rsid w:val="00D90B90"/>
    <w:rsid w:val="00DA3806"/>
    <w:rsid w:val="00DA6555"/>
    <w:rsid w:val="00DB3C41"/>
    <w:rsid w:val="00DB4F15"/>
    <w:rsid w:val="00DB520B"/>
    <w:rsid w:val="00DC3224"/>
    <w:rsid w:val="00DD5E78"/>
    <w:rsid w:val="00DE457F"/>
    <w:rsid w:val="00DE7F47"/>
    <w:rsid w:val="00E02590"/>
    <w:rsid w:val="00E06E40"/>
    <w:rsid w:val="00E16F58"/>
    <w:rsid w:val="00E26825"/>
    <w:rsid w:val="00E3030B"/>
    <w:rsid w:val="00E51E00"/>
    <w:rsid w:val="00E555AF"/>
    <w:rsid w:val="00E63964"/>
    <w:rsid w:val="00E73744"/>
    <w:rsid w:val="00E91F9B"/>
    <w:rsid w:val="00EA06D9"/>
    <w:rsid w:val="00EA4268"/>
    <w:rsid w:val="00EB10DA"/>
    <w:rsid w:val="00EC1CC5"/>
    <w:rsid w:val="00EC485A"/>
    <w:rsid w:val="00EF1C66"/>
    <w:rsid w:val="00F018AF"/>
    <w:rsid w:val="00F01A70"/>
    <w:rsid w:val="00F050BD"/>
    <w:rsid w:val="00F11A53"/>
    <w:rsid w:val="00F15D8E"/>
    <w:rsid w:val="00F16A56"/>
    <w:rsid w:val="00F431E8"/>
    <w:rsid w:val="00F4367D"/>
    <w:rsid w:val="00F51972"/>
    <w:rsid w:val="00F7026E"/>
    <w:rsid w:val="00F72F8D"/>
    <w:rsid w:val="00F757BB"/>
    <w:rsid w:val="00F92B78"/>
    <w:rsid w:val="00FA5BC0"/>
    <w:rsid w:val="00FB0D0B"/>
    <w:rsid w:val="00FC0744"/>
    <w:rsid w:val="00FE2672"/>
    <w:rsid w:val="00FF53BF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A4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51E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1E00"/>
  </w:style>
  <w:style w:type="paragraph" w:styleId="Rodap">
    <w:name w:val="footer"/>
    <w:basedOn w:val="Normal"/>
    <w:link w:val="RodapChar"/>
    <w:uiPriority w:val="99"/>
    <w:rsid w:val="00E51E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1E00"/>
  </w:style>
  <w:style w:type="character" w:styleId="Nmerodelinha">
    <w:name w:val="line number"/>
    <w:basedOn w:val="Fontepargpadro"/>
    <w:uiPriority w:val="99"/>
    <w:semiHidden/>
    <w:rsid w:val="00E51E00"/>
  </w:style>
  <w:style w:type="paragraph" w:styleId="Textodebalo">
    <w:name w:val="Balloon Text"/>
    <w:basedOn w:val="Normal"/>
    <w:link w:val="TextodebaloChar"/>
    <w:uiPriority w:val="99"/>
    <w:semiHidden/>
    <w:rsid w:val="0099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97EFB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semiHidden/>
    <w:rsid w:val="00F72F8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F72F8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F72F8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F72F8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F72F8D"/>
    <w:rPr>
      <w:b/>
      <w:bCs/>
      <w:sz w:val="20"/>
      <w:szCs w:val="20"/>
    </w:rPr>
  </w:style>
  <w:style w:type="character" w:customStyle="1" w:styleId="apple-converted-space">
    <w:name w:val="apple-converted-space"/>
    <w:rsid w:val="009A5DDA"/>
  </w:style>
  <w:style w:type="character" w:styleId="TextodoEspaoReservado">
    <w:name w:val="Placeholder Text"/>
    <w:basedOn w:val="Fontepargpadro"/>
    <w:uiPriority w:val="99"/>
    <w:semiHidden/>
    <w:rsid w:val="001225B4"/>
    <w:rPr>
      <w:color w:val="808080"/>
    </w:rPr>
  </w:style>
  <w:style w:type="paragraph" w:styleId="SemEspaamento">
    <w:name w:val="No Spacing"/>
    <w:basedOn w:val="Normal"/>
    <w:uiPriority w:val="1"/>
    <w:qFormat/>
    <w:rsid w:val="008B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E579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">
    <w:name w:val="a"/>
    <w:basedOn w:val="Fontepargpadro"/>
    <w:rsid w:val="00E303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A4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51E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1E00"/>
  </w:style>
  <w:style w:type="paragraph" w:styleId="Rodap">
    <w:name w:val="footer"/>
    <w:basedOn w:val="Normal"/>
    <w:link w:val="RodapChar"/>
    <w:uiPriority w:val="99"/>
    <w:rsid w:val="00E51E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1E00"/>
  </w:style>
  <w:style w:type="character" w:styleId="Nmerodelinha">
    <w:name w:val="line number"/>
    <w:basedOn w:val="Fontepargpadro"/>
    <w:uiPriority w:val="99"/>
    <w:semiHidden/>
    <w:rsid w:val="00E51E00"/>
  </w:style>
  <w:style w:type="paragraph" w:styleId="Textodebalo">
    <w:name w:val="Balloon Text"/>
    <w:basedOn w:val="Normal"/>
    <w:link w:val="TextodebaloChar"/>
    <w:uiPriority w:val="99"/>
    <w:semiHidden/>
    <w:rsid w:val="0099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97EFB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semiHidden/>
    <w:rsid w:val="00F72F8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F72F8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F72F8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F72F8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F72F8D"/>
    <w:rPr>
      <w:b/>
      <w:bCs/>
      <w:sz w:val="20"/>
      <w:szCs w:val="20"/>
    </w:rPr>
  </w:style>
  <w:style w:type="character" w:customStyle="1" w:styleId="apple-converted-space">
    <w:name w:val="apple-converted-space"/>
    <w:rsid w:val="009A5DDA"/>
  </w:style>
  <w:style w:type="character" w:styleId="TextodoEspaoReservado">
    <w:name w:val="Placeholder Text"/>
    <w:basedOn w:val="Fontepargpadro"/>
    <w:uiPriority w:val="99"/>
    <w:semiHidden/>
    <w:rsid w:val="001225B4"/>
    <w:rPr>
      <w:color w:val="808080"/>
    </w:rPr>
  </w:style>
  <w:style w:type="paragraph" w:styleId="SemEspaamento">
    <w:name w:val="No Spacing"/>
    <w:basedOn w:val="Normal"/>
    <w:uiPriority w:val="1"/>
    <w:qFormat/>
    <w:rsid w:val="008B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E579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">
    <w:name w:val="a"/>
    <w:basedOn w:val="Fontepargpadro"/>
    <w:rsid w:val="00E30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511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5105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6399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9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510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5108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6399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9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9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8CC12-A63B-444E-B3C4-5F9E568B0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4616</TotalTime>
  <Pages>11</Pages>
  <Words>3049</Words>
  <Characters>16469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QUALIDADE DE MUDAS DE ESPÉCIES FLORESTAIS NATIVAS SOB EFEITO DE DIFERENTES RECIPIENTES E DOSAGENS DE FERTILIZANTE FOSFATADO</vt:lpstr>
    </vt:vector>
  </TitlesOfParts>
  <Company>PMPA</Company>
  <LinksUpToDate>false</LinksUpToDate>
  <CharactersWithSpaces>19480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QUALIDADE DE MUDAS DE ESPÉCIES FLORESTAIS NATIVAS SOB EFEITO DE DIFERENTES RECIPIENTES E DOSAGENS DE FERTILIZANTE FOSFATADO</dc:title>
  <cp:lastModifiedBy>Usuario</cp:lastModifiedBy>
  <cp:revision>48</cp:revision>
  <dcterms:created xsi:type="dcterms:W3CDTF">2015-02-04T22:44:00Z</dcterms:created>
  <dcterms:modified xsi:type="dcterms:W3CDTF">2016-03-07T20:06:00Z</dcterms:modified>
</cp:coreProperties>
</file>