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07DF4" w14:textId="328B0481" w:rsidR="00946126" w:rsidRPr="00C239CD" w:rsidRDefault="00E31D65" w:rsidP="00926E1A">
      <w:pPr>
        <w:spacing w:after="0" w:line="480" w:lineRule="auto"/>
        <w:jc w:val="center"/>
        <w:rPr>
          <w:rFonts w:ascii="Times New Roman" w:hAnsi="Times New Roman" w:cs="Times New Roman"/>
          <w:b/>
          <w:bCs/>
          <w:sz w:val="28"/>
          <w:szCs w:val="28"/>
        </w:rPr>
      </w:pPr>
      <w:r w:rsidRPr="00C239CD">
        <w:rPr>
          <w:rFonts w:ascii="Times New Roman" w:hAnsi="Times New Roman" w:cs="Times New Roman"/>
          <w:b/>
          <w:bCs/>
          <w:sz w:val="28"/>
          <w:szCs w:val="28"/>
        </w:rPr>
        <w:t>EFEITO</w:t>
      </w:r>
      <w:r w:rsidRPr="00C239CD">
        <w:rPr>
          <w:rFonts w:ascii="Times New Roman" w:hAnsi="Times New Roman" w:cs="Times New Roman"/>
          <w:b/>
          <w:bCs/>
          <w:sz w:val="28"/>
          <w:szCs w:val="28"/>
        </w:rPr>
        <w:t xml:space="preserve"> </w:t>
      </w:r>
      <w:r>
        <w:rPr>
          <w:rFonts w:ascii="Times New Roman" w:hAnsi="Times New Roman" w:cs="Times New Roman"/>
          <w:b/>
          <w:bCs/>
          <w:sz w:val="28"/>
          <w:szCs w:val="28"/>
        </w:rPr>
        <w:t>D</w:t>
      </w:r>
      <w:r w:rsidR="000D40F0">
        <w:rPr>
          <w:rFonts w:ascii="Times New Roman" w:hAnsi="Times New Roman" w:cs="Times New Roman"/>
          <w:b/>
          <w:bCs/>
          <w:sz w:val="28"/>
          <w:szCs w:val="28"/>
        </w:rPr>
        <w:t>E</w:t>
      </w:r>
      <w:r w:rsidRPr="00C239CD">
        <w:rPr>
          <w:rFonts w:ascii="Times New Roman" w:hAnsi="Times New Roman" w:cs="Times New Roman"/>
          <w:b/>
          <w:bCs/>
          <w:sz w:val="28"/>
          <w:szCs w:val="28"/>
        </w:rPr>
        <w:t xml:space="preserve"> DOSAGENS DE FERTILIZANTE FOSFATADO</w:t>
      </w:r>
      <w:r w:rsidRPr="00C239CD">
        <w:rPr>
          <w:rFonts w:ascii="Times New Roman" w:hAnsi="Times New Roman" w:cs="Times New Roman"/>
          <w:b/>
          <w:bCs/>
          <w:sz w:val="28"/>
          <w:szCs w:val="28"/>
        </w:rPr>
        <w:t xml:space="preserve"> </w:t>
      </w:r>
      <w:r>
        <w:rPr>
          <w:rFonts w:ascii="Times New Roman" w:hAnsi="Times New Roman" w:cs="Times New Roman"/>
          <w:b/>
          <w:bCs/>
          <w:sz w:val="28"/>
          <w:szCs w:val="28"/>
        </w:rPr>
        <w:t xml:space="preserve">NA DETERMINAÇÃO DE VOLUME ÓTIMO DE PRODUÇÃO </w:t>
      </w:r>
      <w:r w:rsidR="008120D7" w:rsidRPr="00C239CD">
        <w:rPr>
          <w:rFonts w:ascii="Times New Roman" w:hAnsi="Times New Roman" w:cs="Times New Roman"/>
          <w:b/>
          <w:bCs/>
          <w:sz w:val="28"/>
          <w:szCs w:val="28"/>
        </w:rPr>
        <w:t xml:space="preserve">DE MUDAS DE ESPÉCIES FLORESTAIS NATIVAS </w:t>
      </w:r>
    </w:p>
    <w:p w14:paraId="2E1CCE74" w14:textId="5422A719" w:rsidR="00946126" w:rsidRPr="00457618" w:rsidRDefault="00946126" w:rsidP="000D40F0">
      <w:pPr>
        <w:spacing w:after="0" w:line="480" w:lineRule="auto"/>
        <w:jc w:val="both"/>
        <w:rPr>
          <w:rFonts w:ascii="Times New Roman" w:hAnsi="Times New Roman" w:cs="Times New Roman"/>
          <w:sz w:val="24"/>
          <w:szCs w:val="24"/>
        </w:rPr>
      </w:pPr>
      <w:r w:rsidRPr="00457618">
        <w:rPr>
          <w:rFonts w:ascii="Times New Roman" w:hAnsi="Times New Roman" w:cs="Times New Roman"/>
          <w:b/>
          <w:bCs/>
          <w:sz w:val="24"/>
          <w:szCs w:val="24"/>
        </w:rPr>
        <w:t>RESUMO:</w:t>
      </w:r>
      <w:r w:rsidRPr="00457618">
        <w:rPr>
          <w:rFonts w:ascii="Times New Roman" w:hAnsi="Times New Roman" w:cs="Times New Roman"/>
          <w:sz w:val="24"/>
          <w:szCs w:val="24"/>
        </w:rPr>
        <w:t xml:space="preserve"> O objetivo deste trabalho foi </w:t>
      </w:r>
      <w:r w:rsidR="00E31D65" w:rsidRPr="00457618">
        <w:rPr>
          <w:rFonts w:ascii="Times New Roman" w:hAnsi="Times New Roman" w:cs="Times New Roman"/>
          <w:sz w:val="24"/>
          <w:szCs w:val="24"/>
        </w:rPr>
        <w:t>avaliar o efeito de diferentes dosagens de fertilizante fosfatado na determinação do volume ótimo de recipientes de produção, por meio do Índice de Qualidade de Dickson de mudas de quatro espécies florestais nativas, em viveiro</w:t>
      </w:r>
      <w:r w:rsidRPr="00457618">
        <w:rPr>
          <w:rFonts w:ascii="Times New Roman" w:hAnsi="Times New Roman" w:cs="Times New Roman"/>
          <w:sz w:val="24"/>
          <w:szCs w:val="24"/>
        </w:rPr>
        <w:t>. O experimento foi realizado em delineamento inteiramente casualizado. Os parâmetros mensurados foram altura total, diâmetro do coleto, massa seca de parte aérea e massa seca de raiz, 75 dias após a emergência para determinação do Índice de Qualidade de D</w:t>
      </w:r>
      <w:r w:rsidR="00DC0B9E">
        <w:rPr>
          <w:rFonts w:ascii="Times New Roman" w:hAnsi="Times New Roman" w:cs="Times New Roman"/>
          <w:sz w:val="24"/>
          <w:szCs w:val="24"/>
        </w:rPr>
        <w:t>ickson. Os dados foram representados por meio</w:t>
      </w:r>
      <w:r w:rsidRPr="00457618">
        <w:rPr>
          <w:rFonts w:ascii="Times New Roman" w:hAnsi="Times New Roman" w:cs="Times New Roman"/>
          <w:sz w:val="24"/>
          <w:szCs w:val="24"/>
        </w:rPr>
        <w:t xml:space="preserve"> de média e desvio-padrão. </w:t>
      </w:r>
      <w:r w:rsidR="00860D61" w:rsidRPr="00457618">
        <w:rPr>
          <w:rFonts w:ascii="Times New Roman" w:hAnsi="Times New Roman" w:cs="Times New Roman"/>
          <w:sz w:val="24"/>
          <w:szCs w:val="24"/>
        </w:rPr>
        <w:t>Foi utilizado o teste de Welch e ANOVA para comparação de médias não pareadas</w:t>
      </w:r>
      <w:r w:rsidRPr="00457618">
        <w:rPr>
          <w:rFonts w:ascii="Times New Roman" w:hAnsi="Times New Roman" w:cs="Times New Roman"/>
          <w:sz w:val="24"/>
          <w:szCs w:val="24"/>
        </w:rPr>
        <w:t>. O nível de significância adotado foi de 5% e o software utilizado foi o SPSS for Windows versão 17. Diferentes concentrações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 xml:space="preserve">5 </w:t>
      </w:r>
      <w:r w:rsidRPr="00457618">
        <w:rPr>
          <w:rFonts w:ascii="Times New Roman" w:hAnsi="Times New Roman" w:cs="Times New Roman"/>
          <w:sz w:val="24"/>
          <w:szCs w:val="24"/>
        </w:rPr>
        <w:t>indicaram que o recipiente ótimo para a produção de mudas das espécies foi o tubete de 120 cm³, promovendo os maiores Índices de Qualidade de Dickson.</w:t>
      </w:r>
    </w:p>
    <w:p w14:paraId="2228F40C" w14:textId="3221EAE6" w:rsidR="00946126" w:rsidRPr="00457618" w:rsidRDefault="00946126"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b/>
          <w:bCs/>
          <w:sz w:val="24"/>
          <w:szCs w:val="24"/>
        </w:rPr>
        <w:t>Palavras-chave:</w:t>
      </w:r>
      <w:r w:rsidRPr="00457618">
        <w:rPr>
          <w:rFonts w:ascii="Times New Roman" w:hAnsi="Times New Roman" w:cs="Times New Roman"/>
          <w:sz w:val="24"/>
          <w:szCs w:val="24"/>
        </w:rPr>
        <w:t xml:space="preserve"> áreas degradadas,</w:t>
      </w:r>
      <w:r w:rsidR="00314796" w:rsidRPr="00457618">
        <w:rPr>
          <w:rFonts w:ascii="Times New Roman" w:hAnsi="Times New Roman" w:cs="Times New Roman"/>
          <w:sz w:val="24"/>
          <w:szCs w:val="24"/>
        </w:rPr>
        <w:t xml:space="preserve"> fertilização</w:t>
      </w:r>
      <w:r w:rsidRPr="00457618">
        <w:rPr>
          <w:rFonts w:ascii="Times New Roman" w:hAnsi="Times New Roman" w:cs="Times New Roman"/>
          <w:sz w:val="24"/>
          <w:szCs w:val="24"/>
        </w:rPr>
        <w:t>, produção de mudas.</w:t>
      </w:r>
    </w:p>
    <w:p w14:paraId="18273F86" w14:textId="103A870A" w:rsidR="00946126" w:rsidRPr="008120D7" w:rsidRDefault="00946126" w:rsidP="00926E1A">
      <w:pPr>
        <w:spacing w:after="0" w:line="480" w:lineRule="auto"/>
        <w:jc w:val="center"/>
        <w:rPr>
          <w:rFonts w:ascii="Times New Roman" w:hAnsi="Times New Roman" w:cs="Times New Roman"/>
          <w:bCs/>
          <w:i/>
          <w:sz w:val="24"/>
          <w:szCs w:val="24"/>
          <w:lang w:val="en-US"/>
        </w:rPr>
      </w:pPr>
      <w:r w:rsidRPr="00457618">
        <w:rPr>
          <w:rFonts w:ascii="Times New Roman" w:hAnsi="Times New Roman" w:cs="Times New Roman"/>
          <w:sz w:val="24"/>
          <w:szCs w:val="24"/>
          <w:lang w:val="en-US"/>
        </w:rPr>
        <w:br w:type="page"/>
      </w:r>
      <w:r w:rsidR="00003778">
        <w:rPr>
          <w:rFonts w:ascii="Times New Roman" w:hAnsi="Times New Roman" w:cs="Times New Roman"/>
          <w:bCs/>
          <w:i/>
          <w:sz w:val="28"/>
          <w:szCs w:val="24"/>
          <w:lang w:val="en-US"/>
        </w:rPr>
        <w:lastRenderedPageBreak/>
        <w:t xml:space="preserve">PHOSPHATIC </w:t>
      </w:r>
      <w:r w:rsidR="00003778" w:rsidRPr="000D40F0">
        <w:rPr>
          <w:rFonts w:ascii="Times New Roman" w:hAnsi="Times New Roman" w:cs="Times New Roman"/>
          <w:bCs/>
          <w:i/>
          <w:sz w:val="28"/>
          <w:szCs w:val="24"/>
          <w:lang w:val="en-US"/>
        </w:rPr>
        <w:t>FERTILIZER DOSAGE</w:t>
      </w:r>
      <w:r w:rsidR="00003778" w:rsidRPr="000D40F0">
        <w:rPr>
          <w:rFonts w:ascii="Times New Roman" w:hAnsi="Times New Roman" w:cs="Times New Roman"/>
          <w:bCs/>
          <w:i/>
          <w:sz w:val="28"/>
          <w:szCs w:val="24"/>
          <w:lang w:val="en-US"/>
        </w:rPr>
        <w:t xml:space="preserve"> </w:t>
      </w:r>
      <w:r w:rsidR="00003778">
        <w:rPr>
          <w:rFonts w:ascii="Times New Roman" w:hAnsi="Times New Roman" w:cs="Times New Roman"/>
          <w:bCs/>
          <w:i/>
          <w:sz w:val="28"/>
          <w:szCs w:val="24"/>
          <w:lang w:val="en-US"/>
        </w:rPr>
        <w:t>EFFECT</w:t>
      </w:r>
      <w:r w:rsidR="000D40F0" w:rsidRPr="000D40F0">
        <w:rPr>
          <w:rFonts w:ascii="Times New Roman" w:hAnsi="Times New Roman" w:cs="Times New Roman"/>
          <w:bCs/>
          <w:i/>
          <w:sz w:val="28"/>
          <w:szCs w:val="24"/>
          <w:lang w:val="en-US"/>
        </w:rPr>
        <w:t xml:space="preserve"> IN </w:t>
      </w:r>
      <w:r w:rsidR="00003778">
        <w:rPr>
          <w:rFonts w:ascii="Times New Roman" w:hAnsi="Times New Roman" w:cs="Times New Roman"/>
          <w:bCs/>
          <w:i/>
          <w:sz w:val="28"/>
          <w:szCs w:val="24"/>
          <w:lang w:val="en-US"/>
        </w:rPr>
        <w:t xml:space="preserve">OPTIMAL </w:t>
      </w:r>
      <w:r w:rsidR="000D40F0" w:rsidRPr="000D40F0">
        <w:rPr>
          <w:rFonts w:ascii="Times New Roman" w:hAnsi="Times New Roman" w:cs="Times New Roman"/>
          <w:bCs/>
          <w:i/>
          <w:sz w:val="28"/>
          <w:szCs w:val="24"/>
          <w:lang w:val="en-US"/>
        </w:rPr>
        <w:t xml:space="preserve">VOLUME DETERMINATION </w:t>
      </w:r>
      <w:r w:rsidR="000D40F0">
        <w:rPr>
          <w:rFonts w:ascii="Times New Roman" w:hAnsi="Times New Roman" w:cs="Times New Roman"/>
          <w:bCs/>
          <w:i/>
          <w:sz w:val="28"/>
          <w:szCs w:val="24"/>
          <w:lang w:val="en-US"/>
        </w:rPr>
        <w:t>OF SEEDLING PRODUCTION OF</w:t>
      </w:r>
      <w:r w:rsidR="000D40F0" w:rsidRPr="000D40F0">
        <w:rPr>
          <w:rFonts w:ascii="Times New Roman" w:hAnsi="Times New Roman" w:cs="Times New Roman"/>
          <w:bCs/>
          <w:i/>
          <w:sz w:val="28"/>
          <w:szCs w:val="24"/>
          <w:lang w:val="en-US"/>
        </w:rPr>
        <w:t xml:space="preserve"> NATIVE FOREST SPECIES</w:t>
      </w:r>
    </w:p>
    <w:p w14:paraId="34BCBAA1" w14:textId="3B8E7F55" w:rsidR="00946126" w:rsidRPr="00457618" w:rsidRDefault="00946126" w:rsidP="00926E1A">
      <w:pPr>
        <w:spacing w:after="0" w:line="480" w:lineRule="auto"/>
        <w:jc w:val="both"/>
        <w:rPr>
          <w:rFonts w:ascii="Times New Roman" w:hAnsi="Times New Roman" w:cs="Times New Roman"/>
          <w:sz w:val="24"/>
          <w:szCs w:val="24"/>
          <w:lang w:val="en-US"/>
        </w:rPr>
      </w:pPr>
      <w:r w:rsidRPr="00457618">
        <w:rPr>
          <w:rFonts w:ascii="Times New Roman" w:hAnsi="Times New Roman" w:cs="Times New Roman"/>
          <w:b/>
          <w:bCs/>
          <w:sz w:val="24"/>
          <w:szCs w:val="24"/>
          <w:lang w:val="en-US"/>
        </w:rPr>
        <w:t>ABSTRACT:</w:t>
      </w:r>
      <w:r w:rsidRPr="00457618">
        <w:rPr>
          <w:rFonts w:ascii="Times New Roman" w:hAnsi="Times New Roman" w:cs="Times New Roman"/>
          <w:sz w:val="24"/>
          <w:szCs w:val="24"/>
          <w:lang w:val="en-US"/>
        </w:rPr>
        <w:t xml:space="preserve"> The purpose</w:t>
      </w:r>
      <w:r w:rsidR="007D54B5">
        <w:rPr>
          <w:rFonts w:ascii="Times New Roman" w:hAnsi="Times New Roman" w:cs="Times New Roman"/>
          <w:sz w:val="24"/>
          <w:szCs w:val="24"/>
          <w:lang w:val="en-US"/>
        </w:rPr>
        <w:t xml:space="preserve"> of this study was</w:t>
      </w:r>
      <w:r w:rsidRPr="00457618">
        <w:rPr>
          <w:rFonts w:ascii="Times New Roman" w:hAnsi="Times New Roman" w:cs="Times New Roman"/>
          <w:sz w:val="24"/>
          <w:szCs w:val="24"/>
          <w:lang w:val="en-US"/>
        </w:rPr>
        <w:t xml:space="preserve"> </w:t>
      </w:r>
      <w:r w:rsidR="007D54B5" w:rsidRPr="007D54B5">
        <w:rPr>
          <w:rFonts w:ascii="Times New Roman" w:hAnsi="Times New Roman" w:cs="Times New Roman"/>
          <w:sz w:val="24"/>
          <w:szCs w:val="24"/>
          <w:lang w:val="en-US"/>
        </w:rPr>
        <w:t xml:space="preserve">to evaluate the effect of different dosages of phosphate fertilizer to determine the optimal </w:t>
      </w:r>
      <w:r w:rsidR="007D54B5">
        <w:rPr>
          <w:rFonts w:ascii="Times New Roman" w:hAnsi="Times New Roman" w:cs="Times New Roman"/>
          <w:sz w:val="24"/>
          <w:szCs w:val="24"/>
          <w:lang w:val="en-US"/>
        </w:rPr>
        <w:t>volume</w:t>
      </w:r>
      <w:r w:rsidR="007D54B5" w:rsidRPr="007D54B5">
        <w:rPr>
          <w:rFonts w:ascii="Times New Roman" w:hAnsi="Times New Roman" w:cs="Times New Roman"/>
          <w:sz w:val="24"/>
          <w:szCs w:val="24"/>
          <w:lang w:val="en-US"/>
        </w:rPr>
        <w:t xml:space="preserve"> of containers through the </w:t>
      </w:r>
      <w:r w:rsidR="007D54B5" w:rsidRPr="007D54B5">
        <w:rPr>
          <w:rFonts w:ascii="Times New Roman" w:hAnsi="Times New Roman" w:cs="Times New Roman"/>
          <w:sz w:val="24"/>
          <w:szCs w:val="24"/>
          <w:lang w:val="en-US"/>
        </w:rPr>
        <w:t>Dickson</w:t>
      </w:r>
      <w:r w:rsidR="007D54B5" w:rsidRPr="007D54B5">
        <w:rPr>
          <w:rFonts w:ascii="Times New Roman" w:hAnsi="Times New Roman" w:cs="Times New Roman"/>
          <w:sz w:val="24"/>
          <w:szCs w:val="24"/>
          <w:lang w:val="en-US"/>
        </w:rPr>
        <w:t xml:space="preserve"> Quality Index </w:t>
      </w:r>
      <w:r w:rsidR="007D54B5">
        <w:rPr>
          <w:rFonts w:ascii="Times New Roman" w:hAnsi="Times New Roman" w:cs="Times New Roman"/>
          <w:sz w:val="24"/>
          <w:szCs w:val="24"/>
          <w:lang w:val="en-US"/>
        </w:rPr>
        <w:t xml:space="preserve">of </w:t>
      </w:r>
      <w:r w:rsidR="007D54B5" w:rsidRPr="007D54B5">
        <w:rPr>
          <w:rFonts w:ascii="Times New Roman" w:hAnsi="Times New Roman" w:cs="Times New Roman"/>
          <w:sz w:val="24"/>
          <w:szCs w:val="24"/>
          <w:lang w:val="en-US"/>
        </w:rPr>
        <w:t>four native species seedlings</w:t>
      </w:r>
      <w:r w:rsidR="007D54B5">
        <w:rPr>
          <w:rFonts w:ascii="Times New Roman" w:hAnsi="Times New Roman" w:cs="Times New Roman"/>
          <w:sz w:val="24"/>
          <w:szCs w:val="24"/>
          <w:lang w:val="en-US"/>
        </w:rPr>
        <w:t>,</w:t>
      </w:r>
      <w:r w:rsidR="007D54B5" w:rsidRPr="007D54B5">
        <w:rPr>
          <w:rFonts w:ascii="Times New Roman" w:hAnsi="Times New Roman" w:cs="Times New Roman"/>
          <w:sz w:val="24"/>
          <w:szCs w:val="24"/>
          <w:lang w:val="en-US"/>
        </w:rPr>
        <w:t xml:space="preserve"> in nursery</w:t>
      </w:r>
      <w:r w:rsidRPr="00457618">
        <w:rPr>
          <w:rFonts w:ascii="Times New Roman" w:hAnsi="Times New Roman" w:cs="Times New Roman"/>
          <w:sz w:val="24"/>
          <w:szCs w:val="24"/>
          <w:lang w:val="en-US"/>
        </w:rPr>
        <w:t>. The experiment was conducted in a completely randomized design. The measured parameters were: height, stem diameter, dry weight of aerial and dry weight of root, 75 days after emergence to determine the Di</w:t>
      </w:r>
      <w:r w:rsidR="00181FB9">
        <w:rPr>
          <w:rFonts w:ascii="Times New Roman" w:hAnsi="Times New Roman" w:cs="Times New Roman"/>
          <w:sz w:val="24"/>
          <w:szCs w:val="24"/>
          <w:lang w:val="en-US"/>
        </w:rPr>
        <w:t>ckson Quality Index. The data was</w:t>
      </w:r>
      <w:r w:rsidRPr="00457618">
        <w:rPr>
          <w:rFonts w:ascii="Times New Roman" w:hAnsi="Times New Roman" w:cs="Times New Roman"/>
          <w:sz w:val="24"/>
          <w:szCs w:val="24"/>
          <w:lang w:val="en-US"/>
        </w:rPr>
        <w:t xml:space="preserve"> rep</w:t>
      </w:r>
      <w:r w:rsidR="00181FB9">
        <w:rPr>
          <w:rFonts w:ascii="Times New Roman" w:hAnsi="Times New Roman" w:cs="Times New Roman"/>
          <w:sz w:val="24"/>
          <w:szCs w:val="24"/>
          <w:lang w:val="en-US"/>
        </w:rPr>
        <w:t>resented by</w:t>
      </w:r>
      <w:r w:rsidRPr="00457618">
        <w:rPr>
          <w:rFonts w:ascii="Times New Roman" w:hAnsi="Times New Roman" w:cs="Times New Roman"/>
          <w:sz w:val="24"/>
          <w:szCs w:val="24"/>
          <w:lang w:val="en-US"/>
        </w:rPr>
        <w:t xml:space="preserve"> mean and standard deviation. The </w:t>
      </w:r>
      <w:r w:rsidR="00860D61" w:rsidRPr="00457618">
        <w:rPr>
          <w:rFonts w:ascii="Times New Roman" w:hAnsi="Times New Roman" w:cs="Times New Roman"/>
          <w:sz w:val="24"/>
          <w:szCs w:val="24"/>
          <w:lang w:val="en-US"/>
        </w:rPr>
        <w:t>Welch test and ANOVA were used to compare unpaired means.</w:t>
      </w:r>
      <w:r w:rsidRPr="00457618">
        <w:rPr>
          <w:rFonts w:ascii="Times New Roman" w:hAnsi="Times New Roman" w:cs="Times New Roman"/>
          <w:sz w:val="24"/>
          <w:szCs w:val="24"/>
          <w:lang w:val="en-US"/>
        </w:rPr>
        <w:t xml:space="preserve"> The significance level was 5% and the software used was SPSS for Windows version 17. Different P</w:t>
      </w:r>
      <w:r w:rsidRPr="00457618">
        <w:rPr>
          <w:rFonts w:ascii="Times New Roman" w:hAnsi="Times New Roman" w:cs="Times New Roman"/>
          <w:sz w:val="24"/>
          <w:szCs w:val="24"/>
          <w:vertAlign w:val="subscript"/>
          <w:lang w:val="en-US"/>
        </w:rPr>
        <w:t>2</w:t>
      </w:r>
      <w:r w:rsidRPr="00457618">
        <w:rPr>
          <w:rFonts w:ascii="Times New Roman" w:hAnsi="Times New Roman" w:cs="Times New Roman"/>
          <w:sz w:val="24"/>
          <w:szCs w:val="24"/>
          <w:lang w:val="en-US"/>
        </w:rPr>
        <w:t>O</w:t>
      </w:r>
      <w:r w:rsidRPr="00457618">
        <w:rPr>
          <w:rFonts w:ascii="Times New Roman" w:hAnsi="Times New Roman" w:cs="Times New Roman"/>
          <w:sz w:val="24"/>
          <w:szCs w:val="24"/>
          <w:vertAlign w:val="subscript"/>
          <w:lang w:val="en-US"/>
        </w:rPr>
        <w:t>5</w:t>
      </w:r>
      <w:r w:rsidRPr="00457618">
        <w:rPr>
          <w:rFonts w:ascii="Times New Roman" w:hAnsi="Times New Roman" w:cs="Times New Roman"/>
          <w:sz w:val="24"/>
          <w:szCs w:val="24"/>
          <w:lang w:val="en-US"/>
        </w:rPr>
        <w:t xml:space="preserve"> concentrations indicated that the optimal production container for species evaluated is the dibble-tube of 120 cm³, promoting the highest Dickson Quality Indexes.</w:t>
      </w:r>
    </w:p>
    <w:p w14:paraId="4750847F" w14:textId="201A8A5E" w:rsidR="00946126" w:rsidRPr="00457618" w:rsidRDefault="00946126" w:rsidP="00926E1A">
      <w:pPr>
        <w:spacing w:after="0" w:line="480" w:lineRule="auto"/>
        <w:jc w:val="both"/>
        <w:rPr>
          <w:rFonts w:ascii="Times New Roman" w:hAnsi="Times New Roman" w:cs="Times New Roman"/>
          <w:sz w:val="24"/>
          <w:szCs w:val="24"/>
          <w:lang w:val="en-US"/>
        </w:rPr>
      </w:pPr>
      <w:r w:rsidRPr="00457618">
        <w:rPr>
          <w:rFonts w:ascii="Times New Roman" w:hAnsi="Times New Roman" w:cs="Times New Roman"/>
          <w:b/>
          <w:bCs/>
          <w:sz w:val="24"/>
          <w:szCs w:val="24"/>
          <w:lang w:val="en-US"/>
        </w:rPr>
        <w:t>Keywords:</w:t>
      </w:r>
      <w:r w:rsidRPr="00457618">
        <w:rPr>
          <w:rFonts w:ascii="Times New Roman" w:hAnsi="Times New Roman" w:cs="Times New Roman"/>
          <w:sz w:val="24"/>
          <w:szCs w:val="24"/>
          <w:lang w:val="en-US"/>
        </w:rPr>
        <w:t xml:space="preserve"> </w:t>
      </w:r>
      <w:r w:rsidR="00B268CD" w:rsidRPr="00457618">
        <w:rPr>
          <w:rFonts w:ascii="Times New Roman" w:hAnsi="Times New Roman" w:cs="Times New Roman"/>
          <w:sz w:val="24"/>
          <w:szCs w:val="24"/>
          <w:lang w:val="en-US"/>
        </w:rPr>
        <w:t xml:space="preserve">degraded areas, </w:t>
      </w:r>
      <w:r w:rsidR="00314796" w:rsidRPr="00457618">
        <w:rPr>
          <w:rFonts w:ascii="Times New Roman" w:hAnsi="Times New Roman" w:cs="Times New Roman"/>
          <w:sz w:val="24"/>
          <w:szCs w:val="24"/>
          <w:lang w:val="en-US"/>
        </w:rPr>
        <w:t>fertilization</w:t>
      </w:r>
      <w:r w:rsidR="00860D61" w:rsidRPr="00457618">
        <w:rPr>
          <w:rFonts w:ascii="Times New Roman" w:hAnsi="Times New Roman" w:cs="Times New Roman"/>
          <w:sz w:val="24"/>
          <w:szCs w:val="24"/>
          <w:lang w:val="en-US"/>
        </w:rPr>
        <w:t xml:space="preserve">, </w:t>
      </w:r>
      <w:r w:rsidR="00B268CD" w:rsidRPr="00457618">
        <w:rPr>
          <w:rFonts w:ascii="Times New Roman" w:hAnsi="Times New Roman" w:cs="Times New Roman"/>
          <w:sz w:val="24"/>
          <w:szCs w:val="24"/>
          <w:lang w:val="en-US"/>
        </w:rPr>
        <w:t>seedlings production.</w:t>
      </w:r>
    </w:p>
    <w:p w14:paraId="76F7E1B3" w14:textId="47370FA4" w:rsidR="00946126" w:rsidRPr="00457618" w:rsidRDefault="00946126" w:rsidP="00457618">
      <w:pPr>
        <w:spacing w:line="480" w:lineRule="auto"/>
        <w:jc w:val="both"/>
        <w:rPr>
          <w:rFonts w:ascii="Times New Roman" w:hAnsi="Times New Roman" w:cs="Times New Roman"/>
          <w:b/>
          <w:bCs/>
          <w:sz w:val="24"/>
          <w:szCs w:val="24"/>
        </w:rPr>
      </w:pPr>
      <w:r w:rsidRPr="00457618">
        <w:rPr>
          <w:rFonts w:ascii="Times New Roman" w:hAnsi="Times New Roman" w:cs="Times New Roman"/>
          <w:sz w:val="24"/>
          <w:szCs w:val="24"/>
        </w:rPr>
        <w:br w:type="page"/>
      </w:r>
      <w:commentRangeStart w:id="0"/>
      <w:r w:rsidRPr="00457618">
        <w:rPr>
          <w:rFonts w:ascii="Times New Roman" w:hAnsi="Times New Roman" w:cs="Times New Roman"/>
          <w:b/>
          <w:bCs/>
          <w:sz w:val="24"/>
          <w:szCs w:val="24"/>
        </w:rPr>
        <w:lastRenderedPageBreak/>
        <w:t>INTRODUÇÃO</w:t>
      </w:r>
      <w:commentRangeEnd w:id="0"/>
      <w:r w:rsidR="00211A24">
        <w:rPr>
          <w:rStyle w:val="Refdecomentrio"/>
          <w:lang w:eastAsia="pt-BR"/>
        </w:rPr>
        <w:commentReference w:id="0"/>
      </w:r>
      <w:r w:rsidR="00860D61" w:rsidRPr="00457618">
        <w:rPr>
          <w:rFonts w:ascii="Times New Roman" w:hAnsi="Times New Roman" w:cs="Times New Roman"/>
          <w:b/>
          <w:bCs/>
          <w:sz w:val="24"/>
          <w:szCs w:val="24"/>
        </w:rPr>
        <w:tab/>
      </w:r>
    </w:p>
    <w:p w14:paraId="1E0000F4" w14:textId="1D16CA53" w:rsidR="004F0EB8" w:rsidRPr="00457618" w:rsidRDefault="003314F4"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O êxito de um plantio depende, entre outros fatores, da qualidade das mudas, a qual</w:t>
      </w:r>
      <w:r w:rsidR="00167979" w:rsidRPr="00457618">
        <w:rPr>
          <w:rFonts w:ascii="Times New Roman" w:hAnsi="Times New Roman" w:cs="Times New Roman"/>
          <w:sz w:val="24"/>
          <w:szCs w:val="24"/>
        </w:rPr>
        <w:t xml:space="preserve"> afeta diretamente o crescimento </w:t>
      </w:r>
      <w:r w:rsidR="0048743D" w:rsidRPr="00457618">
        <w:rPr>
          <w:rFonts w:ascii="Times New Roman" w:hAnsi="Times New Roman" w:cs="Times New Roman"/>
          <w:sz w:val="24"/>
          <w:szCs w:val="24"/>
        </w:rPr>
        <w:t xml:space="preserve">e desenvolvimento </w:t>
      </w:r>
      <w:r w:rsidR="004F0EB8" w:rsidRPr="00457618">
        <w:rPr>
          <w:rFonts w:ascii="Times New Roman" w:hAnsi="Times New Roman" w:cs="Times New Roman"/>
          <w:sz w:val="24"/>
          <w:szCs w:val="24"/>
        </w:rPr>
        <w:t xml:space="preserve">das árvores. </w:t>
      </w:r>
      <w:r w:rsidR="00946126" w:rsidRPr="00457618">
        <w:rPr>
          <w:rFonts w:ascii="Times New Roman" w:hAnsi="Times New Roman" w:cs="Times New Roman"/>
          <w:sz w:val="24"/>
          <w:szCs w:val="24"/>
        </w:rPr>
        <w:t xml:space="preserve">São diversos os fatores de produção que afetam a qualidade de mudas </w:t>
      </w:r>
      <w:r w:rsidR="001B07AA" w:rsidRPr="00457618">
        <w:rPr>
          <w:rFonts w:ascii="Times New Roman" w:hAnsi="Times New Roman" w:cs="Times New Roman"/>
          <w:sz w:val="24"/>
          <w:szCs w:val="24"/>
        </w:rPr>
        <w:t xml:space="preserve">durante a fase de produção </w:t>
      </w:r>
      <w:r w:rsidR="00946126" w:rsidRPr="00457618">
        <w:rPr>
          <w:rFonts w:ascii="Times New Roman" w:hAnsi="Times New Roman" w:cs="Times New Roman"/>
          <w:sz w:val="24"/>
          <w:szCs w:val="24"/>
        </w:rPr>
        <w:t>em viveiro. Dentre eles, o tamanho do recipiente a ser utilizado é de grande importância, pois, segundo Brachtvogel</w:t>
      </w:r>
      <w:r w:rsidR="003D49CE" w:rsidRPr="00457618">
        <w:rPr>
          <w:rFonts w:ascii="Times New Roman" w:hAnsi="Times New Roman" w:cs="Times New Roman"/>
          <w:sz w:val="24"/>
          <w:szCs w:val="24"/>
        </w:rPr>
        <w:t xml:space="preserve"> </w:t>
      </w:r>
      <w:r w:rsidR="00946126" w:rsidRPr="00457618">
        <w:rPr>
          <w:rFonts w:ascii="Times New Roman" w:hAnsi="Times New Roman" w:cs="Times New Roman"/>
          <w:sz w:val="24"/>
          <w:szCs w:val="24"/>
        </w:rPr>
        <w:t xml:space="preserve">et al. (2006), este influencia diretamente o desenvolvimento e a arquitetura dos tecidos radiculares e aéreos do vegetal. </w:t>
      </w:r>
      <w:r w:rsidR="00DA433A" w:rsidRPr="00457618">
        <w:rPr>
          <w:rFonts w:ascii="Times New Roman" w:hAnsi="Times New Roman" w:cs="Times New Roman"/>
          <w:sz w:val="24"/>
          <w:szCs w:val="24"/>
        </w:rPr>
        <w:t xml:space="preserve">Ao longo do tempo, inúmeros </w:t>
      </w:r>
      <w:r w:rsidR="00364BC9" w:rsidRPr="00457618">
        <w:rPr>
          <w:rFonts w:ascii="Times New Roman" w:hAnsi="Times New Roman" w:cs="Times New Roman"/>
          <w:sz w:val="24"/>
          <w:szCs w:val="24"/>
        </w:rPr>
        <w:t xml:space="preserve">tipos de recipientes foram criados para </w:t>
      </w:r>
      <w:r w:rsidR="001B3794">
        <w:rPr>
          <w:rFonts w:ascii="Times New Roman" w:hAnsi="Times New Roman" w:cs="Times New Roman"/>
          <w:sz w:val="24"/>
          <w:szCs w:val="24"/>
        </w:rPr>
        <w:t>a</w:t>
      </w:r>
      <w:r w:rsidR="00364BC9" w:rsidRPr="00457618">
        <w:rPr>
          <w:rFonts w:ascii="Times New Roman" w:hAnsi="Times New Roman" w:cs="Times New Roman"/>
          <w:sz w:val="24"/>
          <w:szCs w:val="24"/>
        </w:rPr>
        <w:t>a produção de mudas de espécies florestais. Os mais amplamente utilizados são os sacos de polietileno (sacos plásticos) e os tubetes</w:t>
      </w:r>
      <w:r w:rsidR="00DA433A" w:rsidRPr="00457618">
        <w:rPr>
          <w:rFonts w:ascii="Times New Roman" w:hAnsi="Times New Roman" w:cs="Times New Roman"/>
          <w:sz w:val="24"/>
          <w:szCs w:val="24"/>
        </w:rPr>
        <w:t xml:space="preserve"> de polipropileno</w:t>
      </w:r>
      <w:r w:rsidR="004F0EB8" w:rsidRPr="00457618">
        <w:rPr>
          <w:rFonts w:ascii="Times New Roman" w:hAnsi="Times New Roman" w:cs="Times New Roman"/>
          <w:sz w:val="24"/>
          <w:szCs w:val="24"/>
        </w:rPr>
        <w:t>.</w:t>
      </w:r>
    </w:p>
    <w:p w14:paraId="28F56C1E" w14:textId="366B30E7" w:rsidR="00946126" w:rsidRPr="00457618" w:rsidRDefault="00364BC9"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A utilização de sacos de polietileno nos viveiros florestais </w:t>
      </w:r>
      <w:r w:rsidR="007A30D3" w:rsidRPr="00457618">
        <w:rPr>
          <w:rFonts w:ascii="Times New Roman" w:hAnsi="Times New Roman" w:cs="Times New Roman"/>
          <w:sz w:val="24"/>
          <w:szCs w:val="24"/>
        </w:rPr>
        <w:t>é, por vezes, inconveniente, visto que estes recipientes</w:t>
      </w:r>
      <w:r w:rsidRPr="00457618">
        <w:rPr>
          <w:rFonts w:ascii="Times New Roman" w:hAnsi="Times New Roman" w:cs="Times New Roman"/>
          <w:sz w:val="24"/>
          <w:szCs w:val="24"/>
        </w:rPr>
        <w:t xml:space="preserve"> requerem gran</w:t>
      </w:r>
      <w:r w:rsidR="00EC0925" w:rsidRPr="00457618">
        <w:rPr>
          <w:rFonts w:ascii="Times New Roman" w:hAnsi="Times New Roman" w:cs="Times New Roman"/>
          <w:sz w:val="24"/>
          <w:szCs w:val="24"/>
        </w:rPr>
        <w:t>des quant</w:t>
      </w:r>
      <w:r w:rsidR="007A30D3" w:rsidRPr="00457618">
        <w:rPr>
          <w:rFonts w:ascii="Times New Roman" w:hAnsi="Times New Roman" w:cs="Times New Roman"/>
          <w:sz w:val="24"/>
          <w:szCs w:val="24"/>
        </w:rPr>
        <w:t>idades de substrato, dificulta</w:t>
      </w:r>
      <w:r w:rsidR="00EC0925" w:rsidRPr="00457618">
        <w:rPr>
          <w:rFonts w:ascii="Times New Roman" w:hAnsi="Times New Roman" w:cs="Times New Roman"/>
          <w:sz w:val="24"/>
          <w:szCs w:val="24"/>
        </w:rPr>
        <w:t>m o transporte e distribuição das mudas no campo e, além disso,</w:t>
      </w:r>
      <w:r w:rsidR="00610482" w:rsidRPr="00457618">
        <w:rPr>
          <w:rFonts w:ascii="Times New Roman" w:hAnsi="Times New Roman" w:cs="Times New Roman"/>
          <w:sz w:val="24"/>
          <w:szCs w:val="24"/>
        </w:rPr>
        <w:t xml:space="preserve"> </w:t>
      </w:r>
      <w:r w:rsidR="00EC0925" w:rsidRPr="00457618">
        <w:rPr>
          <w:rFonts w:ascii="Times New Roman" w:hAnsi="Times New Roman" w:cs="Times New Roman"/>
          <w:sz w:val="24"/>
          <w:szCs w:val="24"/>
        </w:rPr>
        <w:t xml:space="preserve">podem </w:t>
      </w:r>
      <w:r w:rsidR="00610482" w:rsidRPr="00457618">
        <w:rPr>
          <w:rFonts w:ascii="Times New Roman" w:hAnsi="Times New Roman" w:cs="Times New Roman"/>
          <w:sz w:val="24"/>
          <w:szCs w:val="24"/>
        </w:rPr>
        <w:t>causa</w:t>
      </w:r>
      <w:r w:rsidR="00EC0925" w:rsidRPr="00457618">
        <w:rPr>
          <w:rFonts w:ascii="Times New Roman" w:hAnsi="Times New Roman" w:cs="Times New Roman"/>
          <w:sz w:val="24"/>
          <w:szCs w:val="24"/>
        </w:rPr>
        <w:t>r</w:t>
      </w:r>
      <w:r w:rsidR="00610482" w:rsidRPr="00457618">
        <w:rPr>
          <w:rFonts w:ascii="Times New Roman" w:hAnsi="Times New Roman" w:cs="Times New Roman"/>
          <w:sz w:val="24"/>
          <w:szCs w:val="24"/>
        </w:rPr>
        <w:t xml:space="preserve"> </w:t>
      </w:r>
      <w:r w:rsidR="00EC0925" w:rsidRPr="00457618">
        <w:rPr>
          <w:rFonts w:ascii="Times New Roman" w:hAnsi="Times New Roman" w:cs="Times New Roman"/>
          <w:sz w:val="24"/>
          <w:szCs w:val="24"/>
        </w:rPr>
        <w:t xml:space="preserve">o </w:t>
      </w:r>
      <w:r w:rsidR="00610482" w:rsidRPr="00457618">
        <w:rPr>
          <w:rFonts w:ascii="Times New Roman" w:hAnsi="Times New Roman" w:cs="Times New Roman"/>
          <w:sz w:val="24"/>
          <w:szCs w:val="24"/>
        </w:rPr>
        <w:t>enovelamento das raízes das mudas.</w:t>
      </w:r>
      <w:r w:rsidR="004F0EB8" w:rsidRPr="00457618">
        <w:rPr>
          <w:rFonts w:ascii="Times New Roman" w:hAnsi="Times New Roman" w:cs="Times New Roman"/>
          <w:sz w:val="24"/>
          <w:szCs w:val="24"/>
        </w:rPr>
        <w:t xml:space="preserve"> O</w:t>
      </w:r>
      <w:r w:rsidR="00946126" w:rsidRPr="00457618">
        <w:rPr>
          <w:rFonts w:ascii="Times New Roman" w:hAnsi="Times New Roman" w:cs="Times New Roman"/>
          <w:sz w:val="24"/>
          <w:szCs w:val="24"/>
        </w:rPr>
        <w:t xml:space="preserve">s tubetes </w:t>
      </w:r>
      <w:r w:rsidR="007A2B16" w:rsidRPr="00457618">
        <w:rPr>
          <w:rFonts w:ascii="Times New Roman" w:hAnsi="Times New Roman" w:cs="Times New Roman"/>
          <w:sz w:val="24"/>
          <w:szCs w:val="24"/>
        </w:rPr>
        <w:t>de polipropileno, por sua vez, demanda</w:t>
      </w:r>
      <w:r w:rsidR="004F0EB8" w:rsidRPr="00457618">
        <w:rPr>
          <w:rFonts w:ascii="Times New Roman" w:hAnsi="Times New Roman" w:cs="Times New Roman"/>
          <w:sz w:val="24"/>
          <w:szCs w:val="24"/>
        </w:rPr>
        <w:t>m</w:t>
      </w:r>
      <w:r w:rsidR="007A2B16" w:rsidRPr="00457618">
        <w:rPr>
          <w:rFonts w:ascii="Times New Roman" w:hAnsi="Times New Roman" w:cs="Times New Roman"/>
          <w:sz w:val="24"/>
          <w:szCs w:val="24"/>
        </w:rPr>
        <w:t xml:space="preserve"> menor quantidade de substrato por recipiente, ocupa</w:t>
      </w:r>
      <w:r w:rsidR="004F0EB8" w:rsidRPr="00457618">
        <w:rPr>
          <w:rFonts w:ascii="Times New Roman" w:hAnsi="Times New Roman" w:cs="Times New Roman"/>
          <w:sz w:val="24"/>
          <w:szCs w:val="24"/>
        </w:rPr>
        <w:t>m</w:t>
      </w:r>
      <w:r w:rsidR="007A2B16" w:rsidRPr="00457618">
        <w:rPr>
          <w:rFonts w:ascii="Times New Roman" w:hAnsi="Times New Roman" w:cs="Times New Roman"/>
          <w:sz w:val="24"/>
          <w:szCs w:val="24"/>
        </w:rPr>
        <w:t xml:space="preserve"> menor área </w:t>
      </w:r>
      <w:r w:rsidR="00CA2C8A" w:rsidRPr="00457618">
        <w:rPr>
          <w:rFonts w:ascii="Times New Roman" w:hAnsi="Times New Roman" w:cs="Times New Roman"/>
          <w:sz w:val="24"/>
          <w:szCs w:val="24"/>
        </w:rPr>
        <w:t>de produção</w:t>
      </w:r>
      <w:r w:rsidR="00CE0FF7" w:rsidRPr="00457618">
        <w:rPr>
          <w:rFonts w:ascii="Times New Roman" w:hAnsi="Times New Roman" w:cs="Times New Roman"/>
          <w:sz w:val="24"/>
          <w:szCs w:val="24"/>
        </w:rPr>
        <w:t>,</w:t>
      </w:r>
      <w:r w:rsidR="00CA2C8A" w:rsidRPr="00457618">
        <w:rPr>
          <w:rFonts w:ascii="Times New Roman" w:hAnsi="Times New Roman" w:cs="Times New Roman"/>
          <w:sz w:val="24"/>
          <w:szCs w:val="24"/>
        </w:rPr>
        <w:t xml:space="preserve"> permite</w:t>
      </w:r>
      <w:r w:rsidR="004F0EB8" w:rsidRPr="00457618">
        <w:rPr>
          <w:rFonts w:ascii="Times New Roman" w:hAnsi="Times New Roman" w:cs="Times New Roman"/>
          <w:sz w:val="24"/>
          <w:szCs w:val="24"/>
        </w:rPr>
        <w:t>m</w:t>
      </w:r>
      <w:r w:rsidR="00CA2C8A" w:rsidRPr="00457618">
        <w:rPr>
          <w:rFonts w:ascii="Times New Roman" w:hAnsi="Times New Roman" w:cs="Times New Roman"/>
          <w:sz w:val="24"/>
          <w:szCs w:val="24"/>
        </w:rPr>
        <w:t xml:space="preserve"> a mecanização das atividades no viveiro, </w:t>
      </w:r>
      <w:r w:rsidR="007A2B16" w:rsidRPr="00457618">
        <w:rPr>
          <w:rFonts w:ascii="Times New Roman" w:hAnsi="Times New Roman" w:cs="Times New Roman"/>
          <w:sz w:val="24"/>
          <w:szCs w:val="24"/>
        </w:rPr>
        <w:t>reduz</w:t>
      </w:r>
      <w:r w:rsidR="004F0EB8" w:rsidRPr="00457618">
        <w:rPr>
          <w:rFonts w:ascii="Times New Roman" w:hAnsi="Times New Roman" w:cs="Times New Roman"/>
          <w:sz w:val="24"/>
          <w:szCs w:val="24"/>
        </w:rPr>
        <w:t>em</w:t>
      </w:r>
      <w:r w:rsidR="007A2B16" w:rsidRPr="00457618">
        <w:rPr>
          <w:rFonts w:ascii="Times New Roman" w:hAnsi="Times New Roman" w:cs="Times New Roman"/>
          <w:sz w:val="24"/>
          <w:szCs w:val="24"/>
        </w:rPr>
        <w:t xml:space="preserve"> custos de transporte e distribuiç</w:t>
      </w:r>
      <w:r w:rsidR="00CE0FF7" w:rsidRPr="00457618">
        <w:rPr>
          <w:rFonts w:ascii="Times New Roman" w:hAnsi="Times New Roman" w:cs="Times New Roman"/>
          <w:sz w:val="24"/>
          <w:szCs w:val="24"/>
        </w:rPr>
        <w:t>ão no momento do plantio</w:t>
      </w:r>
      <w:r w:rsidR="00826624" w:rsidRPr="00457618">
        <w:rPr>
          <w:rFonts w:ascii="Times New Roman" w:hAnsi="Times New Roman" w:cs="Times New Roman"/>
          <w:sz w:val="24"/>
          <w:szCs w:val="24"/>
        </w:rPr>
        <w:t xml:space="preserve"> e, a</w:t>
      </w:r>
      <w:r w:rsidR="00946126" w:rsidRPr="00457618">
        <w:rPr>
          <w:rFonts w:ascii="Times New Roman" w:hAnsi="Times New Roman" w:cs="Times New Roman"/>
          <w:sz w:val="24"/>
          <w:szCs w:val="24"/>
        </w:rPr>
        <w:t>lém disso, deve-se considerar que, por ser</w:t>
      </w:r>
      <w:r w:rsidR="004F0EB8" w:rsidRPr="00457618">
        <w:rPr>
          <w:rFonts w:ascii="Times New Roman" w:hAnsi="Times New Roman" w:cs="Times New Roman"/>
          <w:sz w:val="24"/>
          <w:szCs w:val="24"/>
        </w:rPr>
        <w:t>em</w:t>
      </w:r>
      <w:r w:rsidR="00946126" w:rsidRPr="00457618">
        <w:rPr>
          <w:rFonts w:ascii="Times New Roman" w:hAnsi="Times New Roman" w:cs="Times New Roman"/>
          <w:sz w:val="24"/>
          <w:szCs w:val="24"/>
        </w:rPr>
        <w:t xml:space="preserve"> reutilizáve</w:t>
      </w:r>
      <w:r w:rsidR="004F0EB8" w:rsidRPr="00457618">
        <w:rPr>
          <w:rFonts w:ascii="Times New Roman" w:hAnsi="Times New Roman" w:cs="Times New Roman"/>
          <w:sz w:val="24"/>
          <w:szCs w:val="24"/>
        </w:rPr>
        <w:t>is</w:t>
      </w:r>
      <w:r w:rsidR="00946126" w:rsidRPr="00457618">
        <w:rPr>
          <w:rFonts w:ascii="Times New Roman" w:hAnsi="Times New Roman" w:cs="Times New Roman"/>
          <w:sz w:val="24"/>
          <w:szCs w:val="24"/>
        </w:rPr>
        <w:t xml:space="preserve"> em vários ciclos de produção, </w:t>
      </w:r>
      <w:r w:rsidR="00115F04" w:rsidRPr="00457618">
        <w:rPr>
          <w:rFonts w:ascii="Times New Roman" w:hAnsi="Times New Roman" w:cs="Times New Roman"/>
          <w:sz w:val="24"/>
          <w:szCs w:val="24"/>
        </w:rPr>
        <w:t xml:space="preserve">os custos fixos são diluídos, corroborando as vantagens da utilização desses recipientes nos viveiros </w:t>
      </w:r>
      <w:r w:rsidR="00946126" w:rsidRPr="00457618">
        <w:rPr>
          <w:rFonts w:ascii="Times New Roman" w:hAnsi="Times New Roman" w:cs="Times New Roman"/>
          <w:sz w:val="24"/>
          <w:szCs w:val="24"/>
        </w:rPr>
        <w:t>florestais.</w:t>
      </w:r>
    </w:p>
    <w:p w14:paraId="5DD72D60" w14:textId="22F49591" w:rsidR="00BC41E8" w:rsidRPr="00457618" w:rsidRDefault="00946126"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Outro fator relevante </w:t>
      </w:r>
      <w:r w:rsidR="003A068C" w:rsidRPr="00457618">
        <w:rPr>
          <w:rFonts w:ascii="Times New Roman" w:hAnsi="Times New Roman" w:cs="Times New Roman"/>
          <w:sz w:val="24"/>
          <w:szCs w:val="24"/>
        </w:rPr>
        <w:t>na produção de</w:t>
      </w:r>
      <w:r w:rsidR="00877654" w:rsidRPr="00457618">
        <w:rPr>
          <w:rFonts w:ascii="Times New Roman" w:hAnsi="Times New Roman" w:cs="Times New Roman"/>
          <w:sz w:val="24"/>
          <w:szCs w:val="24"/>
        </w:rPr>
        <w:t xml:space="preserve"> mudas </w:t>
      </w:r>
      <w:r w:rsidRPr="00457618">
        <w:rPr>
          <w:rFonts w:ascii="Times New Roman" w:hAnsi="Times New Roman" w:cs="Times New Roman"/>
          <w:sz w:val="24"/>
          <w:szCs w:val="24"/>
        </w:rPr>
        <w:t xml:space="preserve">é a adubação. </w:t>
      </w:r>
      <w:r w:rsidR="00940F7F" w:rsidRPr="00457618">
        <w:rPr>
          <w:rFonts w:ascii="Times New Roman" w:hAnsi="Times New Roman" w:cs="Times New Roman"/>
          <w:sz w:val="24"/>
          <w:szCs w:val="24"/>
        </w:rPr>
        <w:t>Uma adubação adequada na fase de crescimento inicial das mudas refletirá no bom estado nutricional das mesmas, auxiliando na capacidade de resistência às adversidades encontradas em campo</w:t>
      </w:r>
      <w:r w:rsidR="00AC37FB" w:rsidRPr="00457618">
        <w:rPr>
          <w:rFonts w:ascii="Times New Roman" w:hAnsi="Times New Roman" w:cs="Times New Roman"/>
          <w:sz w:val="24"/>
          <w:szCs w:val="24"/>
        </w:rPr>
        <w:t>.</w:t>
      </w:r>
      <w:r w:rsidRPr="00457618">
        <w:rPr>
          <w:rFonts w:ascii="Times New Roman" w:hAnsi="Times New Roman" w:cs="Times New Roman"/>
          <w:sz w:val="24"/>
          <w:szCs w:val="24"/>
        </w:rPr>
        <w:t xml:space="preserve"> </w:t>
      </w:r>
      <w:r w:rsidR="00BB416A" w:rsidRPr="00457618">
        <w:rPr>
          <w:rFonts w:ascii="Times New Roman" w:hAnsi="Times New Roman" w:cs="Times New Roman"/>
          <w:sz w:val="24"/>
          <w:szCs w:val="24"/>
        </w:rPr>
        <w:t>Usualmente</w:t>
      </w:r>
      <w:r w:rsidRPr="00457618">
        <w:rPr>
          <w:rFonts w:ascii="Times New Roman" w:hAnsi="Times New Roman" w:cs="Times New Roman"/>
          <w:sz w:val="24"/>
          <w:szCs w:val="24"/>
        </w:rPr>
        <w:t>, nos viveiros florestais</w:t>
      </w:r>
      <w:r w:rsidR="007E16B0" w:rsidRPr="00457618">
        <w:rPr>
          <w:rFonts w:ascii="Times New Roman" w:hAnsi="Times New Roman" w:cs="Times New Roman"/>
          <w:sz w:val="24"/>
          <w:szCs w:val="24"/>
        </w:rPr>
        <w:t>,</w:t>
      </w:r>
      <w:r w:rsidRPr="00457618">
        <w:rPr>
          <w:rFonts w:ascii="Times New Roman" w:hAnsi="Times New Roman" w:cs="Times New Roman"/>
          <w:sz w:val="24"/>
          <w:szCs w:val="24"/>
        </w:rPr>
        <w:t xml:space="preserve"> são utilizados fertilizantes solúveis em água, compostos basicamente por nitrogênio, potássio</w:t>
      </w:r>
      <w:r w:rsidR="00F53D39" w:rsidRPr="00457618">
        <w:rPr>
          <w:rFonts w:ascii="Times New Roman" w:hAnsi="Times New Roman" w:cs="Times New Roman"/>
          <w:sz w:val="24"/>
          <w:szCs w:val="24"/>
        </w:rPr>
        <w:t xml:space="preserve"> e fósforo</w:t>
      </w:r>
      <w:r w:rsidR="007E16B0" w:rsidRPr="00457618">
        <w:rPr>
          <w:rFonts w:ascii="Times New Roman" w:hAnsi="Times New Roman" w:cs="Times New Roman"/>
          <w:sz w:val="24"/>
          <w:szCs w:val="24"/>
        </w:rPr>
        <w:t xml:space="preserve">. </w:t>
      </w:r>
      <w:r w:rsidR="00FE5D92" w:rsidRPr="00457618">
        <w:rPr>
          <w:rFonts w:ascii="Times New Roman" w:hAnsi="Times New Roman" w:cs="Times New Roman"/>
          <w:sz w:val="24"/>
          <w:szCs w:val="24"/>
        </w:rPr>
        <w:t xml:space="preserve">Conforme aponta </w:t>
      </w:r>
      <w:r w:rsidR="006F4102" w:rsidRPr="00457618">
        <w:rPr>
          <w:rFonts w:ascii="Times New Roman" w:hAnsi="Times New Roman" w:cs="Times New Roman"/>
          <w:sz w:val="24"/>
          <w:szCs w:val="24"/>
        </w:rPr>
        <w:t>Garcia e Souza (2015)</w:t>
      </w:r>
      <w:r w:rsidR="00691271" w:rsidRPr="00457618">
        <w:rPr>
          <w:rFonts w:ascii="Times New Roman" w:hAnsi="Times New Roman" w:cs="Times New Roman"/>
          <w:sz w:val="24"/>
          <w:szCs w:val="24"/>
        </w:rPr>
        <w:t xml:space="preserve">, o </w:t>
      </w:r>
      <w:r w:rsidR="006F4102" w:rsidRPr="00457618">
        <w:rPr>
          <w:rFonts w:ascii="Times New Roman" w:hAnsi="Times New Roman" w:cs="Times New Roman"/>
          <w:sz w:val="24"/>
          <w:szCs w:val="24"/>
        </w:rPr>
        <w:t xml:space="preserve">fósforo é crucial no metabolismo das plantas, desempenhando papel importante na transferência de energia da célula, na respiração e na fotossíntese, além de ser componente </w:t>
      </w:r>
      <w:r w:rsidR="00FE5D92" w:rsidRPr="00457618">
        <w:rPr>
          <w:rFonts w:ascii="Times New Roman" w:hAnsi="Times New Roman" w:cs="Times New Roman"/>
          <w:sz w:val="24"/>
          <w:szCs w:val="24"/>
        </w:rPr>
        <w:t>estrutural dos ácidos nucleicos e</w:t>
      </w:r>
      <w:r w:rsidR="006F4102" w:rsidRPr="00457618">
        <w:rPr>
          <w:rFonts w:ascii="Times New Roman" w:hAnsi="Times New Roman" w:cs="Times New Roman"/>
          <w:sz w:val="24"/>
          <w:szCs w:val="24"/>
        </w:rPr>
        <w:t xml:space="preserve"> coenzimas.</w:t>
      </w:r>
      <w:r w:rsidR="00F53D39" w:rsidRPr="00457618">
        <w:rPr>
          <w:rFonts w:ascii="Times New Roman" w:hAnsi="Times New Roman" w:cs="Times New Roman"/>
          <w:sz w:val="24"/>
          <w:szCs w:val="24"/>
        </w:rPr>
        <w:t xml:space="preserve"> O fósforo é um nutriente essencial </w:t>
      </w:r>
      <w:r w:rsidR="00F8167D" w:rsidRPr="00457618">
        <w:rPr>
          <w:rFonts w:ascii="Times New Roman" w:hAnsi="Times New Roman" w:cs="Times New Roman"/>
          <w:sz w:val="24"/>
          <w:szCs w:val="24"/>
        </w:rPr>
        <w:t>na fase</w:t>
      </w:r>
      <w:r w:rsidR="00F53D39" w:rsidRPr="00457618">
        <w:rPr>
          <w:rFonts w:ascii="Times New Roman" w:hAnsi="Times New Roman" w:cs="Times New Roman"/>
          <w:sz w:val="24"/>
          <w:szCs w:val="24"/>
        </w:rPr>
        <w:t xml:space="preserve"> inicial </w:t>
      </w:r>
      <w:r w:rsidR="00F8167D" w:rsidRPr="00457618">
        <w:rPr>
          <w:rFonts w:ascii="Times New Roman" w:hAnsi="Times New Roman" w:cs="Times New Roman"/>
          <w:sz w:val="24"/>
          <w:szCs w:val="24"/>
        </w:rPr>
        <w:t>do crescimento de</w:t>
      </w:r>
      <w:r w:rsidR="00F53D39" w:rsidRPr="00457618">
        <w:rPr>
          <w:rFonts w:ascii="Times New Roman" w:hAnsi="Times New Roman" w:cs="Times New Roman"/>
          <w:sz w:val="24"/>
          <w:szCs w:val="24"/>
        </w:rPr>
        <w:t xml:space="preserve"> plantas</w:t>
      </w:r>
      <w:r w:rsidR="00F8167D" w:rsidRPr="00457618">
        <w:rPr>
          <w:rFonts w:ascii="Times New Roman" w:hAnsi="Times New Roman" w:cs="Times New Roman"/>
          <w:sz w:val="24"/>
          <w:szCs w:val="24"/>
        </w:rPr>
        <w:t xml:space="preserve">, </w:t>
      </w:r>
      <w:r w:rsidR="00F8167D" w:rsidRPr="00457618">
        <w:rPr>
          <w:rFonts w:ascii="Times New Roman" w:hAnsi="Times New Roman" w:cs="Times New Roman"/>
          <w:sz w:val="24"/>
          <w:szCs w:val="24"/>
        </w:rPr>
        <w:lastRenderedPageBreak/>
        <w:t>exercendo relevante influência, sobretudo, n</w:t>
      </w:r>
      <w:r w:rsidR="00F53D39" w:rsidRPr="00457618">
        <w:rPr>
          <w:rFonts w:ascii="Times New Roman" w:hAnsi="Times New Roman" w:cs="Times New Roman"/>
          <w:sz w:val="24"/>
          <w:szCs w:val="24"/>
        </w:rPr>
        <w:t xml:space="preserve">o </w:t>
      </w:r>
      <w:r w:rsidR="00F8167D" w:rsidRPr="00457618">
        <w:rPr>
          <w:rFonts w:ascii="Times New Roman" w:hAnsi="Times New Roman" w:cs="Times New Roman"/>
          <w:sz w:val="24"/>
          <w:szCs w:val="24"/>
        </w:rPr>
        <w:t xml:space="preserve">desenvolvimento do </w:t>
      </w:r>
      <w:r w:rsidR="00F53D39" w:rsidRPr="00457618">
        <w:rPr>
          <w:rFonts w:ascii="Times New Roman" w:hAnsi="Times New Roman" w:cs="Times New Roman"/>
          <w:sz w:val="24"/>
          <w:szCs w:val="24"/>
        </w:rPr>
        <w:t>sistema radicular.</w:t>
      </w:r>
      <w:r w:rsidR="00BC41E8" w:rsidRPr="00457618">
        <w:rPr>
          <w:rFonts w:ascii="Times New Roman" w:hAnsi="Times New Roman" w:cs="Times New Roman"/>
          <w:sz w:val="24"/>
          <w:szCs w:val="24"/>
        </w:rPr>
        <w:t xml:space="preserve"> As limitações de fósforo no início do crescimento vegetativo, ou seja, na fase de muda, podem resultar em restrições no desenvolvimento, dos quais a planta não se recupera posteriormente (MARSCHNER, 1997; SOUZA et al., 2013).</w:t>
      </w:r>
    </w:p>
    <w:p w14:paraId="6FAF16F1" w14:textId="378374A1" w:rsidR="00946126" w:rsidRPr="00457618" w:rsidRDefault="00E10A63"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No tocante à determinação da qualidade de mudas em viveiro, diferentes</w:t>
      </w:r>
      <w:r w:rsidR="00A35D92" w:rsidRPr="00457618">
        <w:rPr>
          <w:rFonts w:ascii="Times New Roman" w:hAnsi="Times New Roman" w:cs="Times New Roman"/>
          <w:sz w:val="24"/>
          <w:szCs w:val="24"/>
        </w:rPr>
        <w:t xml:space="preserve"> </w:t>
      </w:r>
      <w:r w:rsidR="00A47D3A" w:rsidRPr="00457618">
        <w:rPr>
          <w:rFonts w:ascii="Times New Roman" w:hAnsi="Times New Roman" w:cs="Times New Roman"/>
          <w:sz w:val="24"/>
          <w:szCs w:val="24"/>
        </w:rPr>
        <w:t xml:space="preserve">metodologias são utilizadas </w:t>
      </w:r>
      <w:r w:rsidR="000E73C0" w:rsidRPr="00457618">
        <w:rPr>
          <w:rFonts w:ascii="Times New Roman" w:hAnsi="Times New Roman" w:cs="Times New Roman"/>
          <w:sz w:val="24"/>
          <w:szCs w:val="24"/>
        </w:rPr>
        <w:t>e, via de regra</w:t>
      </w:r>
      <w:r w:rsidR="00BF7ADB" w:rsidRPr="00457618">
        <w:rPr>
          <w:rFonts w:ascii="Times New Roman" w:hAnsi="Times New Roman" w:cs="Times New Roman"/>
          <w:sz w:val="24"/>
          <w:szCs w:val="24"/>
        </w:rPr>
        <w:t>, as</w:t>
      </w:r>
      <w:r w:rsidR="000E73C0" w:rsidRPr="00457618">
        <w:rPr>
          <w:rFonts w:ascii="Times New Roman" w:hAnsi="Times New Roman" w:cs="Times New Roman"/>
          <w:sz w:val="24"/>
          <w:szCs w:val="24"/>
        </w:rPr>
        <w:t xml:space="preserve"> avaliações quantitativas</w:t>
      </w:r>
      <w:r w:rsidR="00BF7ADB" w:rsidRPr="00457618">
        <w:rPr>
          <w:rFonts w:ascii="Times New Roman" w:hAnsi="Times New Roman" w:cs="Times New Roman"/>
          <w:sz w:val="24"/>
          <w:szCs w:val="24"/>
        </w:rPr>
        <w:t xml:space="preserve"> são as mais empregadas</w:t>
      </w:r>
      <w:r w:rsidR="00270F2A" w:rsidRPr="00457618">
        <w:rPr>
          <w:rFonts w:ascii="Times New Roman" w:hAnsi="Times New Roman" w:cs="Times New Roman"/>
          <w:sz w:val="24"/>
          <w:szCs w:val="24"/>
        </w:rPr>
        <w:t xml:space="preserve">. </w:t>
      </w:r>
      <w:r w:rsidR="00BF7ADB" w:rsidRPr="00457618">
        <w:rPr>
          <w:rFonts w:ascii="Times New Roman" w:hAnsi="Times New Roman" w:cs="Times New Roman"/>
          <w:sz w:val="24"/>
          <w:szCs w:val="24"/>
        </w:rPr>
        <w:t>O</w:t>
      </w:r>
      <w:r w:rsidR="004C091C" w:rsidRPr="00457618">
        <w:rPr>
          <w:rFonts w:ascii="Times New Roman" w:hAnsi="Times New Roman" w:cs="Times New Roman"/>
          <w:sz w:val="24"/>
          <w:szCs w:val="24"/>
        </w:rPr>
        <w:t xml:space="preserve"> princípio de avaliação quantitativa é de que quanto maior a muda melhor</w:t>
      </w:r>
      <w:r w:rsidR="00BF7ADB" w:rsidRPr="00457618">
        <w:rPr>
          <w:rFonts w:ascii="Times New Roman" w:hAnsi="Times New Roman" w:cs="Times New Roman"/>
          <w:sz w:val="24"/>
          <w:szCs w:val="24"/>
        </w:rPr>
        <w:t xml:space="preserve"> (MARANA et al., 2008)</w:t>
      </w:r>
      <w:r w:rsidR="004C091C" w:rsidRPr="00457618">
        <w:rPr>
          <w:rFonts w:ascii="Times New Roman" w:hAnsi="Times New Roman" w:cs="Times New Roman"/>
          <w:sz w:val="24"/>
          <w:szCs w:val="24"/>
        </w:rPr>
        <w:t xml:space="preserve">. No entanto, os autores supracitados citam que, para evitar distorções provenientes do excesso de nitrogênio, por exemplo, ou do crescimento foliar em detrimento do sistema radicular, são utilizados índices de qualidade, que são relações entre os parâmetros de crescimento. </w:t>
      </w:r>
      <w:r w:rsidR="00BF3152" w:rsidRPr="00457618">
        <w:rPr>
          <w:rFonts w:ascii="Times New Roman" w:hAnsi="Times New Roman" w:cs="Times New Roman"/>
          <w:sz w:val="24"/>
          <w:szCs w:val="24"/>
        </w:rPr>
        <w:t>Dentre estes índices</w:t>
      </w:r>
      <w:r w:rsidR="004D524B" w:rsidRPr="00457618">
        <w:rPr>
          <w:rFonts w:ascii="Times New Roman" w:hAnsi="Times New Roman" w:cs="Times New Roman"/>
          <w:sz w:val="24"/>
          <w:szCs w:val="24"/>
        </w:rPr>
        <w:t>, ressalta-se</w:t>
      </w:r>
      <w:r w:rsidR="0052426F" w:rsidRPr="00457618">
        <w:rPr>
          <w:rFonts w:ascii="Times New Roman" w:hAnsi="Times New Roman" w:cs="Times New Roman"/>
          <w:sz w:val="24"/>
          <w:szCs w:val="24"/>
        </w:rPr>
        <w:t xml:space="preserve"> </w:t>
      </w:r>
      <w:r w:rsidR="00946126" w:rsidRPr="00457618">
        <w:rPr>
          <w:rFonts w:ascii="Times New Roman" w:hAnsi="Times New Roman" w:cs="Times New Roman"/>
          <w:sz w:val="24"/>
          <w:szCs w:val="24"/>
        </w:rPr>
        <w:t>o Índice de Qualidade de Dickson (IQD)</w:t>
      </w:r>
      <w:r w:rsidR="004D524B" w:rsidRPr="00457618">
        <w:rPr>
          <w:rFonts w:ascii="Times New Roman" w:hAnsi="Times New Roman" w:cs="Times New Roman"/>
          <w:sz w:val="24"/>
          <w:szCs w:val="24"/>
        </w:rPr>
        <w:t xml:space="preserve">, proposto por </w:t>
      </w:r>
      <w:r w:rsidR="003D49CE" w:rsidRPr="00457618">
        <w:rPr>
          <w:rFonts w:ascii="Times New Roman" w:hAnsi="Times New Roman" w:cs="Times New Roman"/>
          <w:sz w:val="24"/>
          <w:szCs w:val="24"/>
        </w:rPr>
        <w:t>D</w:t>
      </w:r>
      <w:r w:rsidR="004D524B" w:rsidRPr="00457618">
        <w:rPr>
          <w:rFonts w:ascii="Times New Roman" w:hAnsi="Times New Roman" w:cs="Times New Roman"/>
          <w:sz w:val="24"/>
          <w:szCs w:val="24"/>
        </w:rPr>
        <w:t>ickson et al.</w:t>
      </w:r>
      <w:r w:rsidR="003D49CE" w:rsidRPr="00457618">
        <w:rPr>
          <w:rFonts w:ascii="Times New Roman" w:hAnsi="Times New Roman" w:cs="Times New Roman"/>
          <w:sz w:val="24"/>
          <w:szCs w:val="24"/>
        </w:rPr>
        <w:t xml:space="preserve"> </w:t>
      </w:r>
      <w:r w:rsidR="004D524B" w:rsidRPr="00457618">
        <w:rPr>
          <w:rFonts w:ascii="Times New Roman" w:hAnsi="Times New Roman" w:cs="Times New Roman"/>
          <w:sz w:val="24"/>
          <w:szCs w:val="24"/>
        </w:rPr>
        <w:t>(</w:t>
      </w:r>
      <w:r w:rsidR="003D49CE" w:rsidRPr="00457618">
        <w:rPr>
          <w:rFonts w:ascii="Times New Roman" w:hAnsi="Times New Roman" w:cs="Times New Roman"/>
          <w:sz w:val="24"/>
          <w:szCs w:val="24"/>
        </w:rPr>
        <w:t>1960)</w:t>
      </w:r>
      <w:r w:rsidR="00946126" w:rsidRPr="00457618">
        <w:rPr>
          <w:rFonts w:ascii="Times New Roman" w:hAnsi="Times New Roman" w:cs="Times New Roman"/>
          <w:sz w:val="24"/>
          <w:szCs w:val="24"/>
        </w:rPr>
        <w:t>.</w:t>
      </w:r>
      <w:r w:rsidR="00CA2AFC" w:rsidRPr="00457618">
        <w:rPr>
          <w:rFonts w:ascii="Times New Roman" w:hAnsi="Times New Roman" w:cs="Times New Roman"/>
          <w:sz w:val="24"/>
          <w:szCs w:val="24"/>
        </w:rPr>
        <w:t xml:space="preserve"> </w:t>
      </w:r>
      <w:r w:rsidR="001D1A77" w:rsidRPr="00457618">
        <w:rPr>
          <w:rFonts w:ascii="Times New Roman" w:hAnsi="Times New Roman" w:cs="Times New Roman"/>
          <w:sz w:val="24"/>
          <w:szCs w:val="24"/>
        </w:rPr>
        <w:t xml:space="preserve">Autores como Fonseca et al. (2002) e Azevedo et al. (2010) relatam o IQD como um bom indicador da qualidade de mudas, </w:t>
      </w:r>
      <w:r w:rsidR="00AE5107" w:rsidRPr="00457618">
        <w:rPr>
          <w:rFonts w:ascii="Times New Roman" w:hAnsi="Times New Roman" w:cs="Times New Roman"/>
          <w:sz w:val="24"/>
          <w:szCs w:val="24"/>
        </w:rPr>
        <w:t xml:space="preserve">visto que </w:t>
      </w:r>
      <w:r w:rsidR="001D1A77" w:rsidRPr="00457618">
        <w:rPr>
          <w:rFonts w:ascii="Times New Roman" w:hAnsi="Times New Roman" w:cs="Times New Roman"/>
          <w:sz w:val="24"/>
          <w:szCs w:val="24"/>
        </w:rPr>
        <w:t>o seu cálculo considera a robustez e o equilíbrio da distribuição da biomassa na muda, ponderando os resultados de parâmetros importantes utilizados na avaliação da qualidade de mudas.</w:t>
      </w:r>
    </w:p>
    <w:p w14:paraId="2B1020A0" w14:textId="27FB9DD2" w:rsidR="00946126" w:rsidRPr="00457618" w:rsidRDefault="00946126" w:rsidP="006B6C62">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A partir do exposto, este trabalho foi realizado com o objetivo </w:t>
      </w:r>
      <w:r w:rsidR="003B0769" w:rsidRPr="00457618">
        <w:rPr>
          <w:rFonts w:ascii="Times New Roman" w:hAnsi="Times New Roman" w:cs="Times New Roman"/>
          <w:sz w:val="24"/>
          <w:szCs w:val="24"/>
        </w:rPr>
        <w:t>de avaliar</w:t>
      </w:r>
      <w:r w:rsidR="004F5EE4" w:rsidRPr="00457618">
        <w:rPr>
          <w:rFonts w:ascii="Times New Roman" w:hAnsi="Times New Roman" w:cs="Times New Roman"/>
          <w:sz w:val="24"/>
          <w:szCs w:val="24"/>
        </w:rPr>
        <w:t xml:space="preserve"> o efeito de diferentes dosagens de fertilizante fosfatado na determinação do volume ótimo de recipientes de produção</w:t>
      </w:r>
      <w:r w:rsidR="003B0769" w:rsidRPr="00457618">
        <w:rPr>
          <w:rFonts w:ascii="Times New Roman" w:hAnsi="Times New Roman" w:cs="Times New Roman"/>
          <w:sz w:val="24"/>
          <w:szCs w:val="24"/>
        </w:rPr>
        <w:t xml:space="preserve">, por meio do </w:t>
      </w:r>
      <w:r w:rsidR="004F5EE4" w:rsidRPr="00457618">
        <w:rPr>
          <w:rFonts w:ascii="Times New Roman" w:hAnsi="Times New Roman" w:cs="Times New Roman"/>
          <w:sz w:val="24"/>
          <w:szCs w:val="24"/>
        </w:rPr>
        <w:t xml:space="preserve">Índice de Qualidade de Dickson </w:t>
      </w:r>
      <w:r w:rsidR="003B0769" w:rsidRPr="00457618">
        <w:rPr>
          <w:rFonts w:ascii="Times New Roman" w:hAnsi="Times New Roman" w:cs="Times New Roman"/>
          <w:sz w:val="24"/>
          <w:szCs w:val="24"/>
        </w:rPr>
        <w:t xml:space="preserve">de mudas </w:t>
      </w:r>
      <w:r w:rsidRPr="00457618">
        <w:rPr>
          <w:rFonts w:ascii="Times New Roman" w:hAnsi="Times New Roman" w:cs="Times New Roman"/>
          <w:sz w:val="24"/>
          <w:szCs w:val="24"/>
        </w:rPr>
        <w:t xml:space="preserve">de </w:t>
      </w:r>
      <w:r w:rsidR="00281F24" w:rsidRPr="00457618">
        <w:rPr>
          <w:rFonts w:ascii="Times New Roman" w:hAnsi="Times New Roman" w:cs="Times New Roman"/>
          <w:sz w:val="24"/>
          <w:szCs w:val="24"/>
        </w:rPr>
        <w:t xml:space="preserve">quatro </w:t>
      </w:r>
      <w:r w:rsidRPr="00457618">
        <w:rPr>
          <w:rFonts w:ascii="Times New Roman" w:hAnsi="Times New Roman" w:cs="Times New Roman"/>
          <w:sz w:val="24"/>
          <w:szCs w:val="24"/>
        </w:rPr>
        <w:t>espécies</w:t>
      </w:r>
      <w:r w:rsidR="004F5EE4" w:rsidRPr="00457618">
        <w:rPr>
          <w:rFonts w:ascii="Times New Roman" w:hAnsi="Times New Roman" w:cs="Times New Roman"/>
          <w:sz w:val="24"/>
          <w:szCs w:val="24"/>
        </w:rPr>
        <w:t xml:space="preserve"> florestais nativas</w:t>
      </w:r>
      <w:r w:rsidR="00BC41E8" w:rsidRPr="00457618">
        <w:rPr>
          <w:rFonts w:ascii="Times New Roman" w:hAnsi="Times New Roman" w:cs="Times New Roman"/>
          <w:sz w:val="24"/>
          <w:szCs w:val="24"/>
        </w:rPr>
        <w:t>,</w:t>
      </w:r>
      <w:r w:rsidR="004F5EE4" w:rsidRPr="00457618">
        <w:rPr>
          <w:rFonts w:ascii="Times New Roman" w:hAnsi="Times New Roman" w:cs="Times New Roman"/>
          <w:sz w:val="24"/>
          <w:szCs w:val="24"/>
        </w:rPr>
        <w:t xml:space="preserve"> </w:t>
      </w:r>
      <w:commentRangeStart w:id="1"/>
      <w:r w:rsidR="004F5EE4" w:rsidRPr="00457618">
        <w:rPr>
          <w:rFonts w:ascii="Times New Roman" w:hAnsi="Times New Roman" w:cs="Times New Roman"/>
          <w:sz w:val="24"/>
          <w:szCs w:val="24"/>
        </w:rPr>
        <w:t>em viveiro</w:t>
      </w:r>
      <w:r w:rsidR="003B0769" w:rsidRPr="00457618">
        <w:rPr>
          <w:rFonts w:ascii="Times New Roman" w:hAnsi="Times New Roman" w:cs="Times New Roman"/>
          <w:sz w:val="24"/>
          <w:szCs w:val="24"/>
        </w:rPr>
        <w:t>.</w:t>
      </w:r>
      <w:commentRangeEnd w:id="1"/>
      <w:r w:rsidR="00EF7F89">
        <w:rPr>
          <w:rStyle w:val="Refdecomentrio"/>
          <w:lang w:eastAsia="pt-BR"/>
        </w:rPr>
        <w:commentReference w:id="1"/>
      </w:r>
    </w:p>
    <w:p w14:paraId="24C06462" w14:textId="77777777" w:rsidR="00946126" w:rsidRPr="00457618" w:rsidRDefault="00946126" w:rsidP="00926E1A">
      <w:pPr>
        <w:spacing w:after="0" w:line="480" w:lineRule="auto"/>
        <w:jc w:val="both"/>
        <w:rPr>
          <w:rFonts w:ascii="Times New Roman" w:hAnsi="Times New Roman" w:cs="Times New Roman"/>
          <w:b/>
          <w:bCs/>
          <w:sz w:val="24"/>
          <w:szCs w:val="24"/>
        </w:rPr>
      </w:pPr>
      <w:r w:rsidRPr="00457618">
        <w:rPr>
          <w:rFonts w:ascii="Times New Roman" w:hAnsi="Times New Roman" w:cs="Times New Roman"/>
          <w:b/>
          <w:bCs/>
          <w:sz w:val="24"/>
          <w:szCs w:val="24"/>
        </w:rPr>
        <w:t>MATERIAL E MÉTODOS</w:t>
      </w:r>
    </w:p>
    <w:p w14:paraId="03D7B74E" w14:textId="1B6C93B8" w:rsidR="00946126" w:rsidRPr="00457618" w:rsidRDefault="00946126"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O experimento foi realizado no </w:t>
      </w:r>
      <w:r w:rsidR="000B1C82">
        <w:rPr>
          <w:rFonts w:ascii="Times New Roman" w:hAnsi="Times New Roman" w:cs="Times New Roman"/>
          <w:sz w:val="24"/>
          <w:szCs w:val="24"/>
        </w:rPr>
        <w:t xml:space="preserve">ano de 2013, no </w:t>
      </w:r>
      <w:r w:rsidRPr="00457618">
        <w:rPr>
          <w:rFonts w:ascii="Times New Roman" w:hAnsi="Times New Roman" w:cs="Times New Roman"/>
          <w:sz w:val="24"/>
          <w:szCs w:val="24"/>
        </w:rPr>
        <w:t>Laboratório de Sementes e no Viveiro Florestal do Departamento de Ciências Florestais da Universidade Federal de Sergipe (UFS), localizada no município de São Cristóvão, Sergipe. O município localiza-se na região leste do estado de Sergipe, entre a latitude 11°00’54”S e longitude 37°12’21”W.</w:t>
      </w:r>
      <w:r w:rsidR="00441257" w:rsidRPr="00457618">
        <w:rPr>
          <w:rFonts w:ascii="Times New Roman" w:hAnsi="Times New Roman" w:cs="Times New Roman"/>
          <w:color w:val="000000"/>
          <w:sz w:val="24"/>
          <w:szCs w:val="24"/>
          <w:shd w:val="clear" w:color="auto" w:fill="FFFFFF"/>
        </w:rPr>
        <w:t xml:space="preserve"> O clima d</w:t>
      </w:r>
      <w:r w:rsidR="00281F24" w:rsidRPr="00457618">
        <w:rPr>
          <w:rFonts w:ascii="Times New Roman" w:hAnsi="Times New Roman" w:cs="Times New Roman"/>
          <w:color w:val="000000"/>
          <w:sz w:val="24"/>
          <w:szCs w:val="24"/>
          <w:shd w:val="clear" w:color="auto" w:fill="FFFFFF"/>
        </w:rPr>
        <w:t>a</w:t>
      </w:r>
      <w:r w:rsidR="00441257" w:rsidRPr="00457618">
        <w:rPr>
          <w:rFonts w:ascii="Times New Roman" w:hAnsi="Times New Roman" w:cs="Times New Roman"/>
          <w:color w:val="000000"/>
          <w:sz w:val="24"/>
          <w:szCs w:val="24"/>
          <w:shd w:val="clear" w:color="auto" w:fill="FFFFFF"/>
        </w:rPr>
        <w:t xml:space="preserve"> região, de acordo com a classificação de Köppen, é do tipo As, tropical chuvoso com verão seco.</w:t>
      </w:r>
    </w:p>
    <w:p w14:paraId="63315C99" w14:textId="463FF02C" w:rsidR="006F518C" w:rsidRPr="00457618" w:rsidRDefault="006F518C"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lastRenderedPageBreak/>
        <w:t>O delineamento experimental foi inteiramente casualizado, utilizando-se dois fatores: dois volumes de recipientes de produção, tubetes de polipropileno de 56 cm³ e 120 cm³, e cinco dosagens de fertilizante fosfatado, 180, 360, 540, 720 e 900 g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Pr="00457618">
        <w:rPr>
          <w:rFonts w:ascii="Times New Roman" w:hAnsi="Times New Roman" w:cs="Times New Roman"/>
          <w:sz w:val="24"/>
          <w:szCs w:val="24"/>
        </w:rPr>
        <w:t>/m³ de substrato</w:t>
      </w:r>
      <w:r w:rsidR="009B1E15" w:rsidRPr="00457618">
        <w:rPr>
          <w:rFonts w:ascii="Times New Roman" w:hAnsi="Times New Roman" w:cs="Times New Roman"/>
          <w:sz w:val="24"/>
          <w:szCs w:val="24"/>
        </w:rPr>
        <w:t>, totalizando 10 tratamentos</w:t>
      </w:r>
      <w:r w:rsidRPr="00457618">
        <w:rPr>
          <w:rFonts w:ascii="Times New Roman" w:hAnsi="Times New Roman" w:cs="Times New Roman"/>
          <w:sz w:val="24"/>
          <w:szCs w:val="24"/>
        </w:rPr>
        <w:t xml:space="preserve">. Cada tratamento foi composto por quatro repetições, </w:t>
      </w:r>
      <w:r w:rsidR="00B1094C" w:rsidRPr="00457618">
        <w:rPr>
          <w:rFonts w:ascii="Times New Roman" w:hAnsi="Times New Roman" w:cs="Times New Roman"/>
          <w:sz w:val="24"/>
          <w:szCs w:val="24"/>
        </w:rPr>
        <w:t>apresentadas em linhas, onde cada linha continha 10 mudas</w:t>
      </w:r>
      <w:r w:rsidRPr="00457618">
        <w:rPr>
          <w:rFonts w:ascii="Times New Roman" w:hAnsi="Times New Roman" w:cs="Times New Roman"/>
          <w:sz w:val="24"/>
          <w:szCs w:val="24"/>
        </w:rPr>
        <w:t>.</w:t>
      </w:r>
      <w:r w:rsidR="00AB30E6" w:rsidRPr="00457618">
        <w:rPr>
          <w:rFonts w:ascii="Times New Roman" w:hAnsi="Times New Roman" w:cs="Times New Roman"/>
          <w:sz w:val="24"/>
          <w:szCs w:val="24"/>
        </w:rPr>
        <w:t xml:space="preserve"> </w:t>
      </w:r>
      <w:r w:rsidR="009803F2" w:rsidRPr="00457618">
        <w:rPr>
          <w:rFonts w:ascii="Times New Roman" w:hAnsi="Times New Roman" w:cs="Times New Roman"/>
          <w:sz w:val="24"/>
          <w:szCs w:val="24"/>
        </w:rPr>
        <w:t>Para cada espécie foram produzidas 400 mudas, totalizando 1.600 mudas</w:t>
      </w:r>
      <w:r w:rsidR="003C7854" w:rsidRPr="00457618">
        <w:rPr>
          <w:rFonts w:ascii="Times New Roman" w:hAnsi="Times New Roman" w:cs="Times New Roman"/>
          <w:sz w:val="24"/>
          <w:szCs w:val="24"/>
        </w:rPr>
        <w:t xml:space="preserve"> a serem avaliadas no experimento</w:t>
      </w:r>
      <w:r w:rsidR="00BA15B9" w:rsidRPr="00457618">
        <w:rPr>
          <w:rFonts w:ascii="Times New Roman" w:hAnsi="Times New Roman" w:cs="Times New Roman"/>
          <w:sz w:val="24"/>
          <w:szCs w:val="24"/>
        </w:rPr>
        <w:t xml:space="preserve">. </w:t>
      </w:r>
      <w:r w:rsidR="00AB30E6" w:rsidRPr="00457618">
        <w:rPr>
          <w:rFonts w:ascii="Times New Roman" w:hAnsi="Times New Roman" w:cs="Times New Roman"/>
          <w:sz w:val="24"/>
          <w:szCs w:val="24"/>
        </w:rPr>
        <w:t>Para representar a bordadura do experimento, foram produzidas mudas de aroeira, as quais foram dispostas em linha única ao redor dos tratamentos.</w:t>
      </w:r>
    </w:p>
    <w:p w14:paraId="3FADF43E" w14:textId="25CB75B3" w:rsidR="005D671C" w:rsidRPr="00457618" w:rsidRDefault="00A36B25"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O substrato utilizado foi composto por substrato comercial, terra preta e areia lavada na proporção 3:1:1 v/v, com adição de 500g de cloreto de potássio (KCL). O substrato comercial utilizado é composto por 70% casca de pinus, 25% vermiculita e 5% areia. O fertilizante fosfatado usado foi o Superfosfato Simples, composto por 18% de fósforo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Pr="00457618">
        <w:rPr>
          <w:rFonts w:ascii="Times New Roman" w:hAnsi="Times New Roman" w:cs="Times New Roman"/>
          <w:sz w:val="24"/>
          <w:szCs w:val="24"/>
        </w:rPr>
        <w:t xml:space="preserve">), 16% de Cálcio (Ca) e 8% de enxofre (S). </w:t>
      </w:r>
      <w:r w:rsidR="00946126" w:rsidRPr="00457618">
        <w:rPr>
          <w:rFonts w:ascii="Times New Roman" w:hAnsi="Times New Roman" w:cs="Times New Roman"/>
          <w:sz w:val="24"/>
          <w:szCs w:val="24"/>
        </w:rPr>
        <w:t xml:space="preserve">Foram utilizadas </w:t>
      </w:r>
      <w:commentRangeStart w:id="2"/>
      <w:r w:rsidR="00946126" w:rsidRPr="00457618">
        <w:rPr>
          <w:rFonts w:ascii="Times New Roman" w:hAnsi="Times New Roman" w:cs="Times New Roman"/>
          <w:sz w:val="24"/>
          <w:szCs w:val="24"/>
        </w:rPr>
        <w:t>sementes</w:t>
      </w:r>
      <w:commentRangeEnd w:id="2"/>
      <w:r w:rsidR="00EF7F89">
        <w:rPr>
          <w:rStyle w:val="Refdecomentrio"/>
          <w:lang w:eastAsia="pt-BR"/>
        </w:rPr>
        <w:commentReference w:id="2"/>
      </w:r>
      <w:r w:rsidR="00946126" w:rsidRPr="00457618">
        <w:rPr>
          <w:rFonts w:ascii="Times New Roman" w:hAnsi="Times New Roman" w:cs="Times New Roman"/>
          <w:sz w:val="24"/>
          <w:szCs w:val="24"/>
        </w:rPr>
        <w:t xml:space="preserve"> de</w:t>
      </w:r>
      <w:r w:rsidR="00E815DA" w:rsidRPr="00457618">
        <w:rPr>
          <w:rFonts w:ascii="Times New Roman" w:hAnsi="Times New Roman" w:cs="Times New Roman"/>
          <w:sz w:val="24"/>
          <w:szCs w:val="24"/>
        </w:rPr>
        <w:t xml:space="preserve"> quatro espécies florestais </w:t>
      </w:r>
      <w:r w:rsidR="00B268CD" w:rsidRPr="00457618">
        <w:rPr>
          <w:rFonts w:ascii="Times New Roman" w:hAnsi="Times New Roman" w:cs="Times New Roman"/>
          <w:sz w:val="24"/>
          <w:szCs w:val="24"/>
        </w:rPr>
        <w:t>pertencentes a dois grupos ecológicos</w:t>
      </w:r>
      <w:r w:rsidR="004624E5" w:rsidRPr="00457618">
        <w:rPr>
          <w:rFonts w:ascii="Times New Roman" w:hAnsi="Times New Roman" w:cs="Times New Roman"/>
          <w:sz w:val="24"/>
          <w:szCs w:val="24"/>
        </w:rPr>
        <w:t>, coletadas de matrizes pré-selecionadas</w:t>
      </w:r>
      <w:r w:rsidR="00E815DA" w:rsidRPr="00457618">
        <w:rPr>
          <w:rFonts w:ascii="Times New Roman" w:hAnsi="Times New Roman" w:cs="Times New Roman"/>
          <w:sz w:val="24"/>
          <w:szCs w:val="24"/>
        </w:rPr>
        <w:t xml:space="preserve">. As espécies </w:t>
      </w:r>
      <w:r w:rsidR="00B268CD" w:rsidRPr="00457618">
        <w:rPr>
          <w:rFonts w:ascii="Times New Roman" w:hAnsi="Times New Roman" w:cs="Times New Roman"/>
          <w:sz w:val="24"/>
          <w:szCs w:val="24"/>
        </w:rPr>
        <w:t>classificadas</w:t>
      </w:r>
      <w:r w:rsidR="00E815DA" w:rsidRPr="00457618">
        <w:rPr>
          <w:rFonts w:ascii="Times New Roman" w:hAnsi="Times New Roman" w:cs="Times New Roman"/>
          <w:sz w:val="24"/>
          <w:szCs w:val="24"/>
        </w:rPr>
        <w:t xml:space="preserve"> como clímax foram</w:t>
      </w:r>
      <w:r w:rsidR="00946126" w:rsidRPr="00457618">
        <w:rPr>
          <w:rFonts w:ascii="Times New Roman" w:hAnsi="Times New Roman" w:cs="Times New Roman"/>
          <w:sz w:val="24"/>
          <w:szCs w:val="24"/>
        </w:rPr>
        <w:t xml:space="preserve"> </w:t>
      </w:r>
      <w:r w:rsidR="00946126" w:rsidRPr="00457618">
        <w:rPr>
          <w:rFonts w:ascii="Times New Roman" w:hAnsi="Times New Roman" w:cs="Times New Roman"/>
          <w:i/>
          <w:iCs/>
          <w:sz w:val="24"/>
          <w:szCs w:val="24"/>
        </w:rPr>
        <w:t>Sapindus saponaria</w:t>
      </w:r>
      <w:r w:rsidR="00946126" w:rsidRPr="00457618">
        <w:rPr>
          <w:rFonts w:ascii="Times New Roman" w:hAnsi="Times New Roman" w:cs="Times New Roman"/>
          <w:sz w:val="24"/>
          <w:szCs w:val="24"/>
        </w:rPr>
        <w:t xml:space="preserve"> L. (Saboneteira)</w:t>
      </w:r>
      <w:r w:rsidR="00B268CD" w:rsidRPr="00457618">
        <w:rPr>
          <w:rFonts w:ascii="Times New Roman" w:hAnsi="Times New Roman" w:cs="Times New Roman"/>
          <w:sz w:val="24"/>
          <w:szCs w:val="24"/>
        </w:rPr>
        <w:t xml:space="preserve"> e</w:t>
      </w:r>
      <w:r w:rsidR="00946126" w:rsidRPr="00457618">
        <w:rPr>
          <w:rFonts w:ascii="Times New Roman" w:hAnsi="Times New Roman" w:cs="Times New Roman"/>
          <w:sz w:val="24"/>
          <w:szCs w:val="24"/>
        </w:rPr>
        <w:t xml:space="preserve"> </w:t>
      </w:r>
      <w:r w:rsidR="00946126" w:rsidRPr="00457618">
        <w:rPr>
          <w:rFonts w:ascii="Times New Roman" w:hAnsi="Times New Roman" w:cs="Times New Roman"/>
          <w:i/>
          <w:iCs/>
          <w:sz w:val="24"/>
          <w:szCs w:val="24"/>
        </w:rPr>
        <w:t>Ceiba speciosa</w:t>
      </w:r>
      <w:r w:rsidR="00946126" w:rsidRPr="00457618">
        <w:rPr>
          <w:rFonts w:ascii="Times New Roman" w:hAnsi="Times New Roman" w:cs="Times New Roman"/>
          <w:sz w:val="24"/>
          <w:szCs w:val="24"/>
        </w:rPr>
        <w:t xml:space="preserve"> (A. St.–Hil.) Ravenna (Paineira),</w:t>
      </w:r>
      <w:r w:rsidR="00E815DA" w:rsidRPr="00457618">
        <w:rPr>
          <w:rFonts w:ascii="Times New Roman" w:hAnsi="Times New Roman" w:cs="Times New Roman"/>
          <w:sz w:val="24"/>
          <w:szCs w:val="24"/>
        </w:rPr>
        <w:t xml:space="preserve"> com procedência de Itaporanga D'Ajuda - SE (janeiro de 2012)</w:t>
      </w:r>
      <w:r w:rsidR="00B268CD" w:rsidRPr="00457618">
        <w:rPr>
          <w:rFonts w:ascii="Times New Roman" w:hAnsi="Times New Roman" w:cs="Times New Roman"/>
          <w:sz w:val="24"/>
          <w:szCs w:val="24"/>
        </w:rPr>
        <w:t xml:space="preserve"> e</w:t>
      </w:r>
      <w:r w:rsidR="00E815DA" w:rsidRPr="00457618">
        <w:rPr>
          <w:rFonts w:ascii="Times New Roman" w:hAnsi="Times New Roman" w:cs="Times New Roman"/>
          <w:sz w:val="24"/>
          <w:szCs w:val="24"/>
        </w:rPr>
        <w:t xml:space="preserve"> Aracaju - SE (novembro de 2011</w:t>
      </w:r>
      <w:r w:rsidR="00E9765D" w:rsidRPr="00457618">
        <w:rPr>
          <w:rFonts w:ascii="Times New Roman" w:hAnsi="Times New Roman" w:cs="Times New Roman"/>
          <w:sz w:val="24"/>
          <w:szCs w:val="24"/>
        </w:rPr>
        <w:t>), respectivamente. As sementes de espécies pioneiras</w:t>
      </w:r>
      <w:r w:rsidR="00E815DA" w:rsidRPr="00457618">
        <w:rPr>
          <w:rFonts w:ascii="Times New Roman" w:hAnsi="Times New Roman" w:cs="Times New Roman"/>
          <w:sz w:val="24"/>
          <w:szCs w:val="24"/>
        </w:rPr>
        <w:t xml:space="preserve"> </w:t>
      </w:r>
      <w:r w:rsidR="00E9765D" w:rsidRPr="00457618">
        <w:rPr>
          <w:rFonts w:ascii="Times New Roman" w:hAnsi="Times New Roman" w:cs="Times New Roman"/>
          <w:sz w:val="24"/>
          <w:szCs w:val="24"/>
        </w:rPr>
        <w:t>u</w:t>
      </w:r>
      <w:r w:rsidR="00E815DA" w:rsidRPr="00457618">
        <w:rPr>
          <w:rFonts w:ascii="Times New Roman" w:hAnsi="Times New Roman" w:cs="Times New Roman"/>
          <w:sz w:val="24"/>
          <w:szCs w:val="24"/>
        </w:rPr>
        <w:t xml:space="preserve">tilizadas </w:t>
      </w:r>
      <w:r w:rsidR="00E9765D" w:rsidRPr="00457618">
        <w:rPr>
          <w:rFonts w:ascii="Times New Roman" w:hAnsi="Times New Roman" w:cs="Times New Roman"/>
          <w:sz w:val="24"/>
          <w:szCs w:val="24"/>
        </w:rPr>
        <w:t>foram</w:t>
      </w:r>
      <w:r w:rsidR="00E815DA" w:rsidRPr="00457618">
        <w:rPr>
          <w:rFonts w:ascii="Times New Roman" w:hAnsi="Times New Roman" w:cs="Times New Roman"/>
          <w:sz w:val="24"/>
          <w:szCs w:val="24"/>
        </w:rPr>
        <w:t xml:space="preserve"> de </w:t>
      </w:r>
      <w:r w:rsidR="00946126" w:rsidRPr="00457618">
        <w:rPr>
          <w:rFonts w:ascii="Times New Roman" w:hAnsi="Times New Roman" w:cs="Times New Roman"/>
          <w:i/>
          <w:iCs/>
          <w:sz w:val="24"/>
          <w:szCs w:val="24"/>
        </w:rPr>
        <w:t xml:space="preserve">Guazuma ulmifolia </w:t>
      </w:r>
      <w:r w:rsidR="00946126" w:rsidRPr="00457618">
        <w:rPr>
          <w:rFonts w:ascii="Times New Roman" w:hAnsi="Times New Roman" w:cs="Times New Roman"/>
          <w:sz w:val="24"/>
          <w:szCs w:val="24"/>
        </w:rPr>
        <w:t xml:space="preserve">Lam. (Mutamba) e </w:t>
      </w:r>
      <w:r w:rsidR="00946126" w:rsidRPr="00457618">
        <w:rPr>
          <w:rFonts w:ascii="Times New Roman" w:hAnsi="Times New Roman" w:cs="Times New Roman"/>
          <w:i/>
          <w:iCs/>
          <w:sz w:val="24"/>
          <w:szCs w:val="24"/>
        </w:rPr>
        <w:t xml:space="preserve">Schinus terebinthifolius </w:t>
      </w:r>
      <w:r w:rsidR="00946126" w:rsidRPr="00457618">
        <w:rPr>
          <w:rFonts w:ascii="Times New Roman" w:hAnsi="Times New Roman" w:cs="Times New Roman"/>
          <w:sz w:val="24"/>
          <w:szCs w:val="24"/>
        </w:rPr>
        <w:t xml:space="preserve">Raddi. (Aroeira), com procedência de </w:t>
      </w:r>
      <w:r w:rsidR="00E815DA" w:rsidRPr="00457618">
        <w:rPr>
          <w:rFonts w:ascii="Times New Roman" w:hAnsi="Times New Roman" w:cs="Times New Roman"/>
          <w:sz w:val="24"/>
          <w:szCs w:val="24"/>
        </w:rPr>
        <w:t>Aracaju – SE (</w:t>
      </w:r>
      <w:r w:rsidR="00946126" w:rsidRPr="00457618">
        <w:rPr>
          <w:rFonts w:ascii="Times New Roman" w:hAnsi="Times New Roman" w:cs="Times New Roman"/>
          <w:sz w:val="24"/>
          <w:szCs w:val="24"/>
        </w:rPr>
        <w:t>fevereiro de 2012) e Brejo Grande (</w:t>
      </w:r>
      <w:r w:rsidR="005D671C" w:rsidRPr="00457618">
        <w:rPr>
          <w:rFonts w:ascii="Times New Roman" w:hAnsi="Times New Roman" w:cs="Times New Roman"/>
          <w:sz w:val="24"/>
          <w:szCs w:val="24"/>
        </w:rPr>
        <w:t>maio de 2010), respectivamente.</w:t>
      </w:r>
    </w:p>
    <w:p w14:paraId="059FEB8E" w14:textId="58E364E1" w:rsidR="00946126" w:rsidRPr="00457618" w:rsidRDefault="00946126"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Para a superação da dormência das sementes de </w:t>
      </w:r>
      <w:r w:rsidR="00B4781E" w:rsidRPr="00457618">
        <w:rPr>
          <w:rFonts w:ascii="Times New Roman" w:hAnsi="Times New Roman" w:cs="Times New Roman"/>
          <w:i/>
          <w:iCs/>
          <w:sz w:val="24"/>
          <w:szCs w:val="24"/>
        </w:rPr>
        <w:t>S. saponaria</w:t>
      </w:r>
      <w:r w:rsidRPr="00457618">
        <w:rPr>
          <w:rFonts w:ascii="Times New Roman" w:hAnsi="Times New Roman" w:cs="Times New Roman"/>
          <w:sz w:val="24"/>
          <w:szCs w:val="24"/>
        </w:rPr>
        <w:t xml:space="preserve"> e </w:t>
      </w:r>
      <w:r w:rsidR="00B4781E" w:rsidRPr="00457618">
        <w:rPr>
          <w:rFonts w:ascii="Times New Roman" w:hAnsi="Times New Roman" w:cs="Times New Roman"/>
          <w:i/>
          <w:iCs/>
          <w:sz w:val="24"/>
          <w:szCs w:val="24"/>
        </w:rPr>
        <w:t>G. ulmifolia</w:t>
      </w:r>
      <w:r w:rsidRPr="00457618">
        <w:rPr>
          <w:rFonts w:ascii="Times New Roman" w:hAnsi="Times New Roman" w:cs="Times New Roman"/>
          <w:sz w:val="24"/>
          <w:szCs w:val="24"/>
        </w:rPr>
        <w:t xml:space="preserve">, estas foram reservadas em um becker e imersas em ácido sulfúrico concentrado durante </w:t>
      </w:r>
      <w:r w:rsidR="00BC39F9" w:rsidRPr="00457618">
        <w:rPr>
          <w:rFonts w:ascii="Times New Roman" w:hAnsi="Times New Roman" w:cs="Times New Roman"/>
          <w:sz w:val="24"/>
          <w:szCs w:val="24"/>
        </w:rPr>
        <w:t>1</w:t>
      </w:r>
      <w:r w:rsidRPr="00457618">
        <w:rPr>
          <w:rFonts w:ascii="Times New Roman" w:hAnsi="Times New Roman" w:cs="Times New Roman"/>
          <w:sz w:val="24"/>
          <w:szCs w:val="24"/>
        </w:rPr>
        <w:t xml:space="preserve"> h para saboneteira e </w:t>
      </w:r>
      <w:r w:rsidR="00BC39F9" w:rsidRPr="00457618">
        <w:rPr>
          <w:rFonts w:ascii="Times New Roman" w:hAnsi="Times New Roman" w:cs="Times New Roman"/>
          <w:sz w:val="24"/>
          <w:szCs w:val="24"/>
        </w:rPr>
        <w:t>40 min</w:t>
      </w:r>
      <w:r w:rsidRPr="00457618">
        <w:rPr>
          <w:rFonts w:ascii="Times New Roman" w:hAnsi="Times New Roman" w:cs="Times New Roman"/>
          <w:sz w:val="24"/>
          <w:szCs w:val="24"/>
        </w:rPr>
        <w:t xml:space="preserve"> para mutamba. </w:t>
      </w:r>
      <w:r w:rsidR="00BC39F9" w:rsidRPr="00457618">
        <w:rPr>
          <w:rFonts w:ascii="Times New Roman" w:hAnsi="Times New Roman" w:cs="Times New Roman"/>
          <w:sz w:val="24"/>
          <w:szCs w:val="24"/>
        </w:rPr>
        <w:t>A</w:t>
      </w:r>
      <w:r w:rsidRPr="00457618">
        <w:rPr>
          <w:rFonts w:ascii="Times New Roman" w:hAnsi="Times New Roman" w:cs="Times New Roman"/>
          <w:sz w:val="24"/>
          <w:szCs w:val="24"/>
        </w:rPr>
        <w:t>s semen</w:t>
      </w:r>
      <w:r w:rsidR="00E9765D" w:rsidRPr="00457618">
        <w:rPr>
          <w:rFonts w:ascii="Times New Roman" w:hAnsi="Times New Roman" w:cs="Times New Roman"/>
          <w:sz w:val="24"/>
          <w:szCs w:val="24"/>
        </w:rPr>
        <w:t>tes foram lavadas</w:t>
      </w:r>
      <w:r w:rsidRPr="00457618">
        <w:rPr>
          <w:rFonts w:ascii="Times New Roman" w:hAnsi="Times New Roman" w:cs="Times New Roman"/>
          <w:sz w:val="24"/>
          <w:szCs w:val="24"/>
        </w:rPr>
        <w:t xml:space="preserve"> com água destilada para a retirada total do ácido. As sementes de </w:t>
      </w:r>
      <w:r w:rsidR="00860A9A" w:rsidRPr="00457618">
        <w:rPr>
          <w:rFonts w:ascii="Times New Roman" w:hAnsi="Times New Roman" w:cs="Times New Roman"/>
          <w:i/>
          <w:iCs/>
          <w:sz w:val="24"/>
          <w:szCs w:val="24"/>
        </w:rPr>
        <w:t>C. speciosa</w:t>
      </w:r>
      <w:r w:rsidRPr="00457618">
        <w:rPr>
          <w:rFonts w:ascii="Times New Roman" w:hAnsi="Times New Roman" w:cs="Times New Roman"/>
          <w:sz w:val="24"/>
          <w:szCs w:val="24"/>
        </w:rPr>
        <w:t xml:space="preserve"> e </w:t>
      </w:r>
      <w:r w:rsidR="00860A9A" w:rsidRPr="00457618">
        <w:rPr>
          <w:rFonts w:ascii="Times New Roman" w:hAnsi="Times New Roman" w:cs="Times New Roman"/>
          <w:i/>
          <w:iCs/>
          <w:sz w:val="24"/>
          <w:szCs w:val="24"/>
        </w:rPr>
        <w:t>S. terebinthifolius</w:t>
      </w:r>
      <w:r w:rsidRPr="00457618">
        <w:rPr>
          <w:rFonts w:ascii="Times New Roman" w:hAnsi="Times New Roman" w:cs="Times New Roman"/>
          <w:sz w:val="24"/>
          <w:szCs w:val="24"/>
        </w:rPr>
        <w:t xml:space="preserve"> não foram submetidas à superação da dormência</w:t>
      </w:r>
      <w:r w:rsidR="00BC39F9" w:rsidRPr="00457618">
        <w:rPr>
          <w:rFonts w:ascii="Times New Roman" w:hAnsi="Times New Roman" w:cs="Times New Roman"/>
          <w:sz w:val="24"/>
          <w:szCs w:val="24"/>
        </w:rPr>
        <w:t>.</w:t>
      </w:r>
      <w:r w:rsidR="00A36B25" w:rsidRPr="00457618">
        <w:rPr>
          <w:rFonts w:ascii="Times New Roman" w:hAnsi="Times New Roman" w:cs="Times New Roman"/>
          <w:sz w:val="24"/>
          <w:szCs w:val="24"/>
        </w:rPr>
        <w:t xml:space="preserve"> A semeadura foi realizada diretamente nos recipientes de produção, onde, para cada </w:t>
      </w:r>
      <w:r w:rsidR="00A36B25" w:rsidRPr="00457618">
        <w:rPr>
          <w:rFonts w:ascii="Times New Roman" w:hAnsi="Times New Roman" w:cs="Times New Roman"/>
          <w:sz w:val="24"/>
          <w:szCs w:val="24"/>
        </w:rPr>
        <w:lastRenderedPageBreak/>
        <w:t>espécie, foram colocadas três sementes. Após o período de emergência procedeu-se o desbaste das plântulas, deixando apenas uma plântula por recipiente.</w:t>
      </w:r>
    </w:p>
    <w:p w14:paraId="4FCC5F99" w14:textId="459D52D6" w:rsidR="00946126" w:rsidRPr="00457618" w:rsidRDefault="00946126"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As mudas foram </w:t>
      </w:r>
      <w:r w:rsidR="001D6481" w:rsidRPr="00457618">
        <w:rPr>
          <w:rFonts w:ascii="Times New Roman" w:hAnsi="Times New Roman" w:cs="Times New Roman"/>
          <w:sz w:val="24"/>
          <w:szCs w:val="24"/>
        </w:rPr>
        <w:t xml:space="preserve">dispostas em sentido </w:t>
      </w:r>
      <w:r w:rsidR="00B4781E" w:rsidRPr="00457618">
        <w:rPr>
          <w:rFonts w:ascii="Times New Roman" w:hAnsi="Times New Roman" w:cs="Times New Roman"/>
          <w:sz w:val="24"/>
          <w:szCs w:val="24"/>
        </w:rPr>
        <w:t>Leste-Oeste</w:t>
      </w:r>
      <w:r w:rsidR="001D6481" w:rsidRPr="00457618">
        <w:rPr>
          <w:rFonts w:ascii="Times New Roman" w:hAnsi="Times New Roman" w:cs="Times New Roman"/>
          <w:sz w:val="24"/>
          <w:szCs w:val="24"/>
        </w:rPr>
        <w:t xml:space="preserve">, </w:t>
      </w:r>
      <w:r w:rsidRPr="00457618">
        <w:rPr>
          <w:rFonts w:ascii="Times New Roman" w:hAnsi="Times New Roman" w:cs="Times New Roman"/>
          <w:sz w:val="24"/>
          <w:szCs w:val="24"/>
        </w:rPr>
        <w:t>mantidas sob tela</w:t>
      </w:r>
      <w:r w:rsidR="00AF308F" w:rsidRPr="00457618">
        <w:rPr>
          <w:rFonts w:ascii="Times New Roman" w:hAnsi="Times New Roman" w:cs="Times New Roman"/>
          <w:sz w:val="24"/>
          <w:szCs w:val="24"/>
        </w:rPr>
        <w:t xml:space="preserve"> sombrite </w:t>
      </w:r>
      <w:r w:rsidRPr="00457618">
        <w:rPr>
          <w:rFonts w:ascii="Times New Roman" w:hAnsi="Times New Roman" w:cs="Times New Roman"/>
          <w:sz w:val="24"/>
          <w:szCs w:val="24"/>
        </w:rPr>
        <w:t>50% até a ocorrência da emergência</w:t>
      </w:r>
      <w:r w:rsidR="00AF308F" w:rsidRPr="00457618">
        <w:rPr>
          <w:rFonts w:ascii="Times New Roman" w:hAnsi="Times New Roman" w:cs="Times New Roman"/>
          <w:sz w:val="24"/>
          <w:szCs w:val="24"/>
        </w:rPr>
        <w:t xml:space="preserve">, o que ocorreu em aproximadamente 15 dias. Em seguida as mudas foram </w:t>
      </w:r>
      <w:r w:rsidRPr="00457618">
        <w:rPr>
          <w:rFonts w:ascii="Times New Roman" w:hAnsi="Times New Roman" w:cs="Times New Roman"/>
          <w:sz w:val="24"/>
          <w:szCs w:val="24"/>
        </w:rPr>
        <w:t>transferidas para uma área em p</w:t>
      </w:r>
      <w:r w:rsidR="0020462F" w:rsidRPr="00457618">
        <w:rPr>
          <w:rFonts w:ascii="Times New Roman" w:hAnsi="Times New Roman" w:cs="Times New Roman"/>
          <w:sz w:val="24"/>
          <w:szCs w:val="24"/>
        </w:rPr>
        <w:t xml:space="preserve">leno sol para estimular </w:t>
      </w:r>
      <w:r w:rsidRPr="00457618">
        <w:rPr>
          <w:rFonts w:ascii="Times New Roman" w:hAnsi="Times New Roman" w:cs="Times New Roman"/>
          <w:sz w:val="24"/>
          <w:szCs w:val="24"/>
        </w:rPr>
        <w:t>a rustificação</w:t>
      </w:r>
      <w:r w:rsidR="00AF308F" w:rsidRPr="00457618">
        <w:rPr>
          <w:rFonts w:ascii="Times New Roman" w:hAnsi="Times New Roman" w:cs="Times New Roman"/>
          <w:sz w:val="24"/>
          <w:szCs w:val="24"/>
        </w:rPr>
        <w:t>, onde permaneceram até as avaliações finais de crescimento</w:t>
      </w:r>
      <w:r w:rsidRPr="00457618">
        <w:rPr>
          <w:rFonts w:ascii="Times New Roman" w:hAnsi="Times New Roman" w:cs="Times New Roman"/>
          <w:sz w:val="24"/>
          <w:szCs w:val="24"/>
        </w:rPr>
        <w:t>. As irrigações foram feitas duas vezes ao dia com regadores manuais. Para todos os tratamentos foi realizada adubação de cobertura quinzenalmente após 60 dias da emergência, com 60g de cloreto de potássio (KCl</w:t>
      </w:r>
      <w:r w:rsidR="007E387D" w:rsidRPr="00457618">
        <w:rPr>
          <w:rFonts w:ascii="Times New Roman" w:hAnsi="Times New Roman" w:cs="Times New Roman"/>
          <w:sz w:val="24"/>
          <w:szCs w:val="24"/>
        </w:rPr>
        <w:t xml:space="preserve">, </w:t>
      </w:r>
      <w:r w:rsidR="00D56798" w:rsidRPr="00457618">
        <w:rPr>
          <w:rFonts w:ascii="Times New Roman" w:hAnsi="Times New Roman" w:cs="Times New Roman"/>
          <w:sz w:val="24"/>
          <w:szCs w:val="24"/>
        </w:rPr>
        <w:t>60% de K</w:t>
      </w:r>
      <w:r w:rsidR="00D56798" w:rsidRPr="00457618">
        <w:rPr>
          <w:rFonts w:ascii="Times New Roman" w:hAnsi="Times New Roman" w:cs="Times New Roman"/>
          <w:sz w:val="24"/>
          <w:szCs w:val="24"/>
          <w:vertAlign w:val="subscript"/>
        </w:rPr>
        <w:t>2</w:t>
      </w:r>
      <w:r w:rsidR="00D56798" w:rsidRPr="00457618">
        <w:rPr>
          <w:rFonts w:ascii="Times New Roman" w:hAnsi="Times New Roman" w:cs="Times New Roman"/>
          <w:sz w:val="24"/>
          <w:szCs w:val="24"/>
        </w:rPr>
        <w:t xml:space="preserve">O) </w:t>
      </w:r>
      <w:r w:rsidRPr="00457618">
        <w:rPr>
          <w:rFonts w:ascii="Times New Roman" w:hAnsi="Times New Roman" w:cs="Times New Roman"/>
          <w:sz w:val="24"/>
          <w:szCs w:val="24"/>
        </w:rPr>
        <w:t xml:space="preserve">e 25g de sulfato de amônio </w:t>
      </w:r>
      <w:r w:rsidR="00D56798" w:rsidRPr="00457618">
        <w:rPr>
          <w:rFonts w:ascii="Times New Roman" w:hAnsi="Times New Roman" w:cs="Times New Roman"/>
          <w:sz w:val="24"/>
          <w:szCs w:val="24"/>
        </w:rPr>
        <w:t>(</w:t>
      </w:r>
      <w:r w:rsidR="00D56798" w:rsidRPr="00457618">
        <w:rPr>
          <w:rFonts w:ascii="Times New Roman" w:hAnsi="Times New Roman" w:cs="Times New Roman"/>
          <w:color w:val="222222"/>
          <w:sz w:val="24"/>
          <w:szCs w:val="24"/>
          <w:shd w:val="clear" w:color="auto" w:fill="FFFFFF"/>
        </w:rPr>
        <w:t>(NH</w:t>
      </w:r>
      <w:r w:rsidR="00D56798" w:rsidRPr="00457618">
        <w:rPr>
          <w:rFonts w:ascii="Times New Roman" w:hAnsi="Times New Roman" w:cs="Times New Roman"/>
          <w:color w:val="222222"/>
          <w:sz w:val="24"/>
          <w:szCs w:val="24"/>
          <w:shd w:val="clear" w:color="auto" w:fill="FFFFFF"/>
          <w:vertAlign w:val="subscript"/>
        </w:rPr>
        <w:t>4</w:t>
      </w:r>
      <w:r w:rsidR="00D56798" w:rsidRPr="00457618">
        <w:rPr>
          <w:rFonts w:ascii="Times New Roman" w:hAnsi="Times New Roman" w:cs="Times New Roman"/>
          <w:color w:val="222222"/>
          <w:sz w:val="24"/>
          <w:szCs w:val="24"/>
          <w:shd w:val="clear" w:color="auto" w:fill="FFFFFF"/>
        </w:rPr>
        <w:t>)</w:t>
      </w:r>
      <w:r w:rsidR="00D56798" w:rsidRPr="00457618">
        <w:rPr>
          <w:rFonts w:ascii="Times New Roman" w:hAnsi="Times New Roman" w:cs="Times New Roman"/>
          <w:color w:val="222222"/>
          <w:sz w:val="24"/>
          <w:szCs w:val="24"/>
          <w:shd w:val="clear" w:color="auto" w:fill="FFFFFF"/>
          <w:vertAlign w:val="subscript"/>
        </w:rPr>
        <w:t>2</w:t>
      </w:r>
      <w:r w:rsidR="00D56798" w:rsidRPr="00457618">
        <w:rPr>
          <w:rFonts w:ascii="Times New Roman" w:hAnsi="Times New Roman" w:cs="Times New Roman"/>
          <w:color w:val="222222"/>
          <w:sz w:val="24"/>
          <w:szCs w:val="24"/>
          <w:shd w:val="clear" w:color="auto" w:fill="FFFFFF"/>
        </w:rPr>
        <w:t>SO</w:t>
      </w:r>
      <w:r w:rsidR="00D56798" w:rsidRPr="00457618">
        <w:rPr>
          <w:rFonts w:ascii="Times New Roman" w:hAnsi="Times New Roman" w:cs="Times New Roman"/>
          <w:color w:val="222222"/>
          <w:sz w:val="24"/>
          <w:szCs w:val="24"/>
          <w:shd w:val="clear" w:color="auto" w:fill="FFFFFF"/>
          <w:vertAlign w:val="subscript"/>
        </w:rPr>
        <w:t>4</w:t>
      </w:r>
      <w:r w:rsidR="007E387D" w:rsidRPr="00457618">
        <w:rPr>
          <w:rFonts w:ascii="Times New Roman" w:hAnsi="Times New Roman" w:cs="Times New Roman"/>
          <w:sz w:val="24"/>
          <w:szCs w:val="24"/>
        </w:rPr>
        <w:t xml:space="preserve">, 20% de N e 24% de S) </w:t>
      </w:r>
      <w:r w:rsidRPr="00457618">
        <w:rPr>
          <w:rFonts w:ascii="Times New Roman" w:hAnsi="Times New Roman" w:cs="Times New Roman"/>
          <w:sz w:val="24"/>
          <w:szCs w:val="24"/>
        </w:rPr>
        <w:t xml:space="preserve">diluídos em 10 </w:t>
      </w:r>
      <w:r w:rsidR="0020462F" w:rsidRPr="00457618">
        <w:rPr>
          <w:rFonts w:ascii="Times New Roman" w:hAnsi="Times New Roman" w:cs="Times New Roman"/>
          <w:sz w:val="24"/>
          <w:szCs w:val="24"/>
        </w:rPr>
        <w:t>L</w:t>
      </w:r>
      <w:r w:rsidRPr="00457618">
        <w:rPr>
          <w:rFonts w:ascii="Times New Roman" w:hAnsi="Times New Roman" w:cs="Times New Roman"/>
          <w:sz w:val="24"/>
          <w:szCs w:val="24"/>
        </w:rPr>
        <w:t xml:space="preserve"> de água.</w:t>
      </w:r>
    </w:p>
    <w:p w14:paraId="6E7C5821" w14:textId="46BB056C" w:rsidR="00946126" w:rsidRPr="00457618" w:rsidRDefault="00946126"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As avaliações de crescimento foram realizadas 75 dias após a semeadura. Os parâmetros morfológicos mensurados foram: altura total - H (cm), utilizando-se trena comum</w:t>
      </w:r>
      <w:r w:rsidR="00E51372">
        <w:rPr>
          <w:rFonts w:ascii="Times New Roman" w:hAnsi="Times New Roman" w:cs="Times New Roman"/>
          <w:sz w:val="24"/>
          <w:szCs w:val="24"/>
        </w:rPr>
        <w:t>,</w:t>
      </w:r>
      <w:r w:rsidRPr="00457618">
        <w:rPr>
          <w:rFonts w:ascii="Times New Roman" w:hAnsi="Times New Roman" w:cs="Times New Roman"/>
          <w:sz w:val="24"/>
          <w:szCs w:val="24"/>
        </w:rPr>
        <w:t xml:space="preserve"> a partir do colo até a gema terminal</w:t>
      </w:r>
      <w:r w:rsidR="00E51372">
        <w:rPr>
          <w:rFonts w:ascii="Times New Roman" w:hAnsi="Times New Roman" w:cs="Times New Roman"/>
          <w:sz w:val="24"/>
          <w:szCs w:val="24"/>
        </w:rPr>
        <w:t>,</w:t>
      </w:r>
      <w:r w:rsidRPr="00457618">
        <w:rPr>
          <w:rFonts w:ascii="Times New Roman" w:hAnsi="Times New Roman" w:cs="Times New Roman"/>
          <w:sz w:val="24"/>
          <w:szCs w:val="24"/>
        </w:rPr>
        <w:t xml:space="preserve"> e diâmetro à altura do coleto - DC (mm), utilizando-se paquímetro digital Caliper (precisão de 0,01 mm). Para a determinação do Índice de Qualidade de Dickson foram selecionadas aleatoriamente cinco mudas de cada tratamento. Estas foram separadas em parte radicular e parte aérea com auxílio de uma tesoura de poda. O substrato foi removido cuidadosamente para não causar danos ao sistema radicular das mudas e, posteriormente, estas foram lavadas com água destilada para a reti</w:t>
      </w:r>
      <w:r w:rsidR="00E51372">
        <w:rPr>
          <w:rFonts w:ascii="Times New Roman" w:hAnsi="Times New Roman" w:cs="Times New Roman"/>
          <w:sz w:val="24"/>
          <w:szCs w:val="24"/>
        </w:rPr>
        <w:t>rada de substrato remanescente.</w:t>
      </w:r>
    </w:p>
    <w:p w14:paraId="334DEB3E" w14:textId="66B5F105" w:rsidR="00946126" w:rsidRPr="00457618" w:rsidRDefault="00E51372" w:rsidP="00E51372">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457618">
        <w:rPr>
          <w:rFonts w:ascii="Times New Roman" w:hAnsi="Times New Roman" w:cs="Times New Roman"/>
          <w:sz w:val="24"/>
          <w:szCs w:val="24"/>
        </w:rPr>
        <w:t>s mudas foram embaladas em sacos de pap</w:t>
      </w:r>
      <w:r>
        <w:rPr>
          <w:rFonts w:ascii="Times New Roman" w:hAnsi="Times New Roman" w:cs="Times New Roman"/>
          <w:sz w:val="24"/>
          <w:szCs w:val="24"/>
        </w:rPr>
        <w:t xml:space="preserve">el, devidamente identificados, </w:t>
      </w:r>
      <w:r w:rsidR="00946126" w:rsidRPr="00457618">
        <w:rPr>
          <w:rFonts w:ascii="Times New Roman" w:hAnsi="Times New Roman" w:cs="Times New Roman"/>
          <w:sz w:val="24"/>
          <w:szCs w:val="24"/>
        </w:rPr>
        <w:t xml:space="preserve">armazenadas em estufa durante 48 horas </w:t>
      </w:r>
      <w:commentRangeStart w:id="3"/>
      <w:r w:rsidR="00946126" w:rsidRPr="00457618">
        <w:rPr>
          <w:rFonts w:ascii="Times New Roman" w:hAnsi="Times New Roman" w:cs="Times New Roman"/>
          <w:sz w:val="24"/>
          <w:szCs w:val="24"/>
        </w:rPr>
        <w:t xml:space="preserve">a 65ºC </w:t>
      </w:r>
      <w:commentRangeEnd w:id="3"/>
      <w:r w:rsidR="000D7D4C">
        <w:rPr>
          <w:rStyle w:val="Refdecomentrio"/>
          <w:lang w:eastAsia="pt-BR"/>
        </w:rPr>
        <w:commentReference w:id="3"/>
      </w:r>
      <w:r w:rsidR="00946126" w:rsidRPr="00457618">
        <w:rPr>
          <w:rFonts w:ascii="Times New Roman" w:hAnsi="Times New Roman" w:cs="Times New Roman"/>
          <w:sz w:val="24"/>
          <w:szCs w:val="24"/>
        </w:rPr>
        <w:t xml:space="preserve">e, em seguida, pesadas separadamente as raízes e a parte aérea para a obtenção do peso de massa seca de raiz (PMSR) e do peso de massa seca da parte aérea (PMSA), respectivamente. O peso de massa seca total (PMST) foi obtido a partir do somatório de PMSR e </w:t>
      </w:r>
      <w:commentRangeStart w:id="4"/>
      <w:r w:rsidR="00946126" w:rsidRPr="00457618">
        <w:rPr>
          <w:rFonts w:ascii="Times New Roman" w:hAnsi="Times New Roman" w:cs="Times New Roman"/>
          <w:sz w:val="24"/>
          <w:szCs w:val="24"/>
        </w:rPr>
        <w:t>PMSA</w:t>
      </w:r>
      <w:commentRangeEnd w:id="4"/>
      <w:r w:rsidR="00C4287C">
        <w:rPr>
          <w:rStyle w:val="Refdecomentrio"/>
          <w:lang w:eastAsia="pt-BR"/>
        </w:rPr>
        <w:commentReference w:id="4"/>
      </w:r>
      <w:r w:rsidR="00946126" w:rsidRPr="00457618">
        <w:rPr>
          <w:rFonts w:ascii="Times New Roman" w:hAnsi="Times New Roman" w:cs="Times New Roman"/>
          <w:sz w:val="24"/>
          <w:szCs w:val="24"/>
        </w:rPr>
        <w:t>. O IQD foi obtido a partir da fórmula</w:t>
      </w:r>
      <w:r w:rsidR="002864BE" w:rsidRPr="00457618">
        <w:rPr>
          <w:rFonts w:ascii="Times New Roman" w:hAnsi="Times New Roman" w:cs="Times New Roman"/>
          <w:sz w:val="24"/>
          <w:szCs w:val="24"/>
        </w:rPr>
        <w:t xml:space="preserve"> proposta por Dickson et al. (1960)</w:t>
      </w:r>
      <w:r w:rsidR="00946126" w:rsidRPr="00457618">
        <w:rPr>
          <w:rFonts w:ascii="Times New Roman" w:hAnsi="Times New Roman" w:cs="Times New Roman"/>
          <w:sz w:val="24"/>
          <w:szCs w:val="24"/>
        </w:rPr>
        <w:t xml:space="preserve">: </w:t>
      </w:r>
    </w:p>
    <w:p w14:paraId="4F4669BD" w14:textId="19916622" w:rsidR="00946126" w:rsidRPr="00457618" w:rsidRDefault="00F57410" w:rsidP="00926E1A">
      <w:pPr>
        <w:spacing w:after="0" w:line="480" w:lineRule="auto"/>
        <w:jc w:val="center"/>
        <w:rPr>
          <w:rFonts w:ascii="Times New Roman" w:hAnsi="Times New Roman" w:cs="Times New Roman"/>
          <w:sz w:val="24"/>
          <w:szCs w:val="24"/>
        </w:rPr>
      </w:pPr>
      <m:oMathPara>
        <m:oMath>
          <m:r>
            <m:rPr>
              <m:nor/>
            </m:rPr>
            <w:rPr>
              <w:rFonts w:ascii="Times New Roman" w:hAnsi="Times New Roman" w:cs="Times New Roman"/>
              <w:sz w:val="24"/>
              <w:szCs w:val="24"/>
            </w:rPr>
            <m:t>IQD=</m:t>
          </m:r>
          <m:r>
            <w:rPr>
              <w:rFonts w:ascii="Cambria Math" w:hAnsi="Cambria Math" w:cs="Times New Roman"/>
              <w:sz w:val="24"/>
              <w:szCs w:val="24"/>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rPr>
                <m:t>PMST</m:t>
              </m:r>
            </m:num>
            <m:den>
              <m:f>
                <m:fPr>
                  <m:ctrlPr>
                    <w:rPr>
                      <w:rFonts w:ascii="Cambria Math" w:hAnsi="Cambria Math" w:cs="Times New Roman"/>
                      <w:i/>
                      <w:sz w:val="24"/>
                      <w:szCs w:val="24"/>
                    </w:rPr>
                  </m:ctrlPr>
                </m:fPr>
                <m:num>
                  <m:r>
                    <m:rPr>
                      <m:nor/>
                    </m:rPr>
                    <w:rPr>
                      <w:rFonts w:ascii="Times New Roman" w:hAnsi="Times New Roman" w:cs="Times New Roman"/>
                      <w:sz w:val="24"/>
                      <w:szCs w:val="24"/>
                    </w:rPr>
                    <m:t>H</m:t>
                  </m:r>
                </m:num>
                <m:den>
                  <m:r>
                    <m:rPr>
                      <m:nor/>
                    </m:rPr>
                    <w:rPr>
                      <w:rFonts w:ascii="Times New Roman" w:hAnsi="Times New Roman" w:cs="Times New Roman"/>
                      <w:sz w:val="24"/>
                      <w:szCs w:val="24"/>
                    </w:rPr>
                    <m:t>D</m:t>
                  </m:r>
                </m:den>
              </m:f>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PMSA</m:t>
                  </m:r>
                </m:num>
                <m:den>
                  <m:r>
                    <m:rPr>
                      <m:nor/>
                    </m:rPr>
                    <w:rPr>
                      <w:rFonts w:ascii="Times New Roman" w:hAnsi="Times New Roman" w:cs="Times New Roman"/>
                      <w:sz w:val="24"/>
                      <w:szCs w:val="24"/>
                    </w:rPr>
                    <m:t>PMSR</m:t>
                  </m:r>
                </m:den>
              </m:f>
            </m:den>
          </m:f>
        </m:oMath>
      </m:oMathPara>
    </w:p>
    <w:p w14:paraId="5B5344AF" w14:textId="77777777" w:rsidR="00946126" w:rsidRPr="00457618" w:rsidRDefault="00946126"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lastRenderedPageBreak/>
        <w:t>Onde:</w:t>
      </w:r>
    </w:p>
    <w:p w14:paraId="247EE34A" w14:textId="77777777" w:rsidR="00946126" w:rsidRPr="00457618" w:rsidRDefault="00946126"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t>IQD – Índice de qualidade de Dickson;</w:t>
      </w:r>
    </w:p>
    <w:p w14:paraId="32E24F12" w14:textId="3374F948" w:rsidR="00946126" w:rsidRPr="00457618" w:rsidRDefault="00946126"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t xml:space="preserve">H – </w:t>
      </w:r>
      <w:r w:rsidR="00B4781E" w:rsidRPr="00457618">
        <w:rPr>
          <w:rFonts w:ascii="Times New Roman" w:hAnsi="Times New Roman" w:cs="Times New Roman"/>
          <w:sz w:val="24"/>
          <w:szCs w:val="24"/>
        </w:rPr>
        <w:t>Altura</w:t>
      </w:r>
      <w:r w:rsidRPr="00457618">
        <w:rPr>
          <w:rFonts w:ascii="Times New Roman" w:hAnsi="Times New Roman" w:cs="Times New Roman"/>
          <w:sz w:val="24"/>
          <w:szCs w:val="24"/>
        </w:rPr>
        <w:t xml:space="preserve"> (cm);</w:t>
      </w:r>
    </w:p>
    <w:p w14:paraId="2F00406E" w14:textId="0E2FADD4" w:rsidR="00946126" w:rsidRPr="00457618" w:rsidRDefault="00946126"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t xml:space="preserve">D – </w:t>
      </w:r>
      <w:r w:rsidR="00B4781E" w:rsidRPr="00457618">
        <w:rPr>
          <w:rFonts w:ascii="Times New Roman" w:hAnsi="Times New Roman" w:cs="Times New Roman"/>
          <w:sz w:val="24"/>
          <w:szCs w:val="24"/>
        </w:rPr>
        <w:t>Diâmetro</w:t>
      </w:r>
      <w:r w:rsidRPr="00457618">
        <w:rPr>
          <w:rFonts w:ascii="Times New Roman" w:hAnsi="Times New Roman" w:cs="Times New Roman"/>
          <w:sz w:val="24"/>
          <w:szCs w:val="24"/>
        </w:rPr>
        <w:t xml:space="preserve"> (mm);</w:t>
      </w:r>
    </w:p>
    <w:p w14:paraId="37B47C1A" w14:textId="2A95B6AF" w:rsidR="00946126" w:rsidRPr="00457618" w:rsidRDefault="00B4781E"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t>PMSA – P</w:t>
      </w:r>
      <w:r w:rsidR="00946126" w:rsidRPr="00457618">
        <w:rPr>
          <w:rFonts w:ascii="Times New Roman" w:hAnsi="Times New Roman" w:cs="Times New Roman"/>
          <w:sz w:val="24"/>
          <w:szCs w:val="24"/>
        </w:rPr>
        <w:t>eso de massa seca de parte aérea (g);</w:t>
      </w:r>
    </w:p>
    <w:p w14:paraId="2209B781" w14:textId="0E0A5541" w:rsidR="00946126" w:rsidRPr="00457618" w:rsidRDefault="00B4781E" w:rsidP="00926E1A">
      <w:pPr>
        <w:spacing w:after="0" w:line="480" w:lineRule="auto"/>
        <w:jc w:val="both"/>
        <w:rPr>
          <w:rFonts w:ascii="Times New Roman" w:hAnsi="Times New Roman" w:cs="Times New Roman"/>
          <w:sz w:val="24"/>
          <w:szCs w:val="24"/>
        </w:rPr>
      </w:pPr>
      <w:r w:rsidRPr="00457618">
        <w:rPr>
          <w:rFonts w:ascii="Times New Roman" w:hAnsi="Times New Roman" w:cs="Times New Roman"/>
          <w:sz w:val="24"/>
          <w:szCs w:val="24"/>
        </w:rPr>
        <w:t>PMSR – P</w:t>
      </w:r>
      <w:r w:rsidR="00946126" w:rsidRPr="00457618">
        <w:rPr>
          <w:rFonts w:ascii="Times New Roman" w:hAnsi="Times New Roman" w:cs="Times New Roman"/>
          <w:sz w:val="24"/>
          <w:szCs w:val="24"/>
        </w:rPr>
        <w:t>eso de massa seca de raíz (g).</w:t>
      </w:r>
    </w:p>
    <w:p w14:paraId="69D1A355" w14:textId="0F17F1D7" w:rsidR="00946126" w:rsidRPr="00457618" w:rsidRDefault="00946126" w:rsidP="006B6C62">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Os dados foram </w:t>
      </w:r>
      <w:r w:rsidR="00AD47AE" w:rsidRPr="00457618">
        <w:rPr>
          <w:rFonts w:ascii="Times New Roman" w:hAnsi="Times New Roman" w:cs="Times New Roman"/>
          <w:sz w:val="24"/>
          <w:szCs w:val="24"/>
        </w:rPr>
        <w:t xml:space="preserve">representados </w:t>
      </w:r>
      <w:r w:rsidRPr="00457618">
        <w:rPr>
          <w:rFonts w:ascii="Times New Roman" w:hAnsi="Times New Roman" w:cs="Times New Roman"/>
          <w:sz w:val="24"/>
          <w:szCs w:val="24"/>
        </w:rPr>
        <w:t xml:space="preserve">através de média e desvio-padrão. </w:t>
      </w:r>
      <w:r w:rsidR="00860D61" w:rsidRPr="00457618">
        <w:rPr>
          <w:rFonts w:ascii="Times New Roman" w:hAnsi="Times New Roman" w:cs="Times New Roman"/>
          <w:sz w:val="24"/>
          <w:szCs w:val="24"/>
        </w:rPr>
        <w:t>Foi utiliz</w:t>
      </w:r>
      <w:r w:rsidR="00951542" w:rsidRPr="00457618">
        <w:rPr>
          <w:rFonts w:ascii="Times New Roman" w:hAnsi="Times New Roman" w:cs="Times New Roman"/>
          <w:sz w:val="24"/>
          <w:szCs w:val="24"/>
        </w:rPr>
        <w:t>ado o teste de Welch. S</w:t>
      </w:r>
      <w:r w:rsidR="00860D61" w:rsidRPr="00457618">
        <w:rPr>
          <w:rFonts w:ascii="Times New Roman" w:hAnsi="Times New Roman" w:cs="Times New Roman"/>
          <w:sz w:val="24"/>
          <w:szCs w:val="24"/>
        </w:rPr>
        <w:t xml:space="preserve">egundo Brown </w:t>
      </w:r>
      <w:r w:rsidR="005F5C7F" w:rsidRPr="00457618">
        <w:rPr>
          <w:rFonts w:ascii="Times New Roman" w:hAnsi="Times New Roman" w:cs="Times New Roman"/>
          <w:sz w:val="24"/>
          <w:szCs w:val="24"/>
        </w:rPr>
        <w:t>&amp;</w:t>
      </w:r>
      <w:r w:rsidR="00860D61" w:rsidRPr="00457618">
        <w:rPr>
          <w:rFonts w:ascii="Times New Roman" w:hAnsi="Times New Roman" w:cs="Times New Roman"/>
          <w:sz w:val="24"/>
          <w:szCs w:val="24"/>
        </w:rPr>
        <w:t xml:space="preserve"> Forsythe (1974) o teste de Welch proporciona uma melhor aproximação para pequenas amostras e é mais robusto a desigualdade de variâncias. Além disso, </w:t>
      </w:r>
      <w:r w:rsidR="00951542" w:rsidRPr="00457618">
        <w:rPr>
          <w:rFonts w:ascii="Times New Roman" w:hAnsi="Times New Roman" w:cs="Times New Roman"/>
          <w:sz w:val="24"/>
          <w:szCs w:val="24"/>
        </w:rPr>
        <w:t xml:space="preserve">foi utilizada a </w:t>
      </w:r>
      <w:r w:rsidR="00860D61" w:rsidRPr="00457618">
        <w:rPr>
          <w:rFonts w:ascii="Times New Roman" w:hAnsi="Times New Roman" w:cs="Times New Roman"/>
          <w:sz w:val="24"/>
          <w:szCs w:val="24"/>
        </w:rPr>
        <w:t>ANOVA para fins de comparação.</w:t>
      </w:r>
      <w:r w:rsidRPr="00457618">
        <w:rPr>
          <w:rFonts w:ascii="Times New Roman" w:hAnsi="Times New Roman" w:cs="Times New Roman"/>
          <w:sz w:val="24"/>
          <w:szCs w:val="24"/>
        </w:rPr>
        <w:t xml:space="preserve"> Os dados foram avaliados por meio do software SPSS for Windows versão 17 considerando 5% nível de </w:t>
      </w:r>
      <w:commentRangeStart w:id="5"/>
      <w:r w:rsidRPr="00457618">
        <w:rPr>
          <w:rFonts w:ascii="Times New Roman" w:hAnsi="Times New Roman" w:cs="Times New Roman"/>
          <w:sz w:val="24"/>
          <w:szCs w:val="24"/>
        </w:rPr>
        <w:t>significância.</w:t>
      </w:r>
      <w:commentRangeEnd w:id="5"/>
      <w:r w:rsidR="00D64C22">
        <w:rPr>
          <w:rStyle w:val="Refdecomentrio"/>
          <w:lang w:eastAsia="pt-BR"/>
        </w:rPr>
        <w:commentReference w:id="5"/>
      </w:r>
    </w:p>
    <w:p w14:paraId="2A73DB0F" w14:textId="77777777" w:rsidR="00946126" w:rsidRPr="00457618" w:rsidRDefault="00946126" w:rsidP="00926E1A">
      <w:pPr>
        <w:spacing w:after="0" w:line="480" w:lineRule="auto"/>
        <w:jc w:val="both"/>
        <w:rPr>
          <w:rFonts w:ascii="Times New Roman" w:hAnsi="Times New Roman" w:cs="Times New Roman"/>
          <w:b/>
          <w:bCs/>
          <w:sz w:val="24"/>
          <w:szCs w:val="24"/>
        </w:rPr>
      </w:pPr>
      <w:r w:rsidRPr="00457618">
        <w:rPr>
          <w:rFonts w:ascii="Times New Roman" w:hAnsi="Times New Roman" w:cs="Times New Roman"/>
          <w:b/>
          <w:bCs/>
          <w:sz w:val="24"/>
          <w:szCs w:val="24"/>
        </w:rPr>
        <w:t>RESULTADOS E DISCUSSÃO</w:t>
      </w:r>
    </w:p>
    <w:p w14:paraId="6ADF8AE1" w14:textId="3BBD2388" w:rsidR="00946126" w:rsidRPr="00457618" w:rsidRDefault="004F5EE4" w:rsidP="00E24F82">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No que concerne a</w:t>
      </w:r>
      <w:r w:rsidR="0059506B" w:rsidRPr="00457618">
        <w:rPr>
          <w:rFonts w:ascii="Times New Roman" w:hAnsi="Times New Roman" w:cs="Times New Roman"/>
          <w:sz w:val="24"/>
          <w:szCs w:val="24"/>
        </w:rPr>
        <w:t xml:space="preserve"> avaliação do Índice de Qualidade de Dickson, </w:t>
      </w:r>
      <w:r w:rsidRPr="00457618">
        <w:rPr>
          <w:rFonts w:ascii="Times New Roman" w:hAnsi="Times New Roman" w:cs="Times New Roman"/>
          <w:sz w:val="24"/>
          <w:szCs w:val="24"/>
        </w:rPr>
        <w:t xml:space="preserve">para Birchler et al. (1998) e Hunt (1990) o valor do IQD deve ser maior que 0,2. Neste trabalho, considerou-se que </w:t>
      </w:r>
      <w:r w:rsidR="0059506B" w:rsidRPr="00457618">
        <w:rPr>
          <w:rFonts w:ascii="Times New Roman" w:hAnsi="Times New Roman" w:cs="Times New Roman"/>
          <w:sz w:val="24"/>
          <w:szCs w:val="24"/>
        </w:rPr>
        <w:t>q</w:t>
      </w:r>
      <w:r w:rsidR="0040409A" w:rsidRPr="00457618">
        <w:rPr>
          <w:rFonts w:ascii="Times New Roman" w:hAnsi="Times New Roman" w:cs="Times New Roman"/>
          <w:sz w:val="24"/>
          <w:szCs w:val="24"/>
        </w:rPr>
        <w:t xml:space="preserve">uanto maior o </w:t>
      </w:r>
      <w:r w:rsidR="006E7526" w:rsidRPr="00457618">
        <w:rPr>
          <w:rFonts w:ascii="Times New Roman" w:hAnsi="Times New Roman" w:cs="Times New Roman"/>
          <w:sz w:val="24"/>
          <w:szCs w:val="24"/>
        </w:rPr>
        <w:t>valor</w:t>
      </w:r>
      <w:r w:rsidR="0040409A" w:rsidRPr="00457618">
        <w:rPr>
          <w:rFonts w:ascii="Times New Roman" w:hAnsi="Times New Roman" w:cs="Times New Roman"/>
          <w:sz w:val="24"/>
          <w:szCs w:val="24"/>
        </w:rPr>
        <w:t xml:space="preserve"> </w:t>
      </w:r>
      <w:r w:rsidRPr="00457618">
        <w:rPr>
          <w:rFonts w:ascii="Times New Roman" w:hAnsi="Times New Roman" w:cs="Times New Roman"/>
          <w:sz w:val="24"/>
          <w:szCs w:val="24"/>
        </w:rPr>
        <w:t xml:space="preserve">do IQD </w:t>
      </w:r>
      <w:r w:rsidR="0040409A" w:rsidRPr="00457618">
        <w:rPr>
          <w:rFonts w:ascii="Times New Roman" w:hAnsi="Times New Roman" w:cs="Times New Roman"/>
          <w:sz w:val="24"/>
          <w:szCs w:val="24"/>
        </w:rPr>
        <w:t xml:space="preserve">melhor é a qualidade da muda produzida. </w:t>
      </w:r>
      <w:r w:rsidR="00946126" w:rsidRPr="00457618">
        <w:rPr>
          <w:rFonts w:ascii="Times New Roman" w:hAnsi="Times New Roman" w:cs="Times New Roman"/>
          <w:sz w:val="24"/>
          <w:szCs w:val="24"/>
        </w:rPr>
        <w:t xml:space="preserve">A </w:t>
      </w:r>
      <w:commentRangeStart w:id="6"/>
      <w:r w:rsidR="00946126" w:rsidRPr="00457618">
        <w:rPr>
          <w:rFonts w:ascii="Times New Roman" w:hAnsi="Times New Roman" w:cs="Times New Roman"/>
          <w:sz w:val="24"/>
          <w:szCs w:val="24"/>
        </w:rPr>
        <w:t>Tabela 1</w:t>
      </w:r>
      <w:commentRangeEnd w:id="6"/>
      <w:r w:rsidR="00D64C22">
        <w:rPr>
          <w:rStyle w:val="Refdecomentrio"/>
          <w:lang w:eastAsia="pt-BR"/>
        </w:rPr>
        <w:commentReference w:id="6"/>
      </w:r>
      <w:r w:rsidR="00946126" w:rsidRPr="00457618">
        <w:rPr>
          <w:rFonts w:ascii="Times New Roman" w:hAnsi="Times New Roman" w:cs="Times New Roman"/>
          <w:sz w:val="24"/>
          <w:szCs w:val="24"/>
        </w:rPr>
        <w:t xml:space="preserve"> apresenta os resultados de média e desvio-padrão do Índice de Qualidade de Dickson para </w:t>
      </w:r>
      <w:r w:rsidR="00946126" w:rsidRPr="00457618">
        <w:rPr>
          <w:rFonts w:ascii="Times New Roman" w:hAnsi="Times New Roman" w:cs="Times New Roman"/>
          <w:i/>
          <w:iCs/>
          <w:sz w:val="24"/>
          <w:szCs w:val="24"/>
        </w:rPr>
        <w:t>S. saponaria</w:t>
      </w:r>
      <w:r w:rsidR="00946126" w:rsidRPr="00457618">
        <w:rPr>
          <w:rFonts w:ascii="Times New Roman" w:hAnsi="Times New Roman" w:cs="Times New Roman"/>
          <w:sz w:val="24"/>
          <w:szCs w:val="24"/>
        </w:rPr>
        <w:t>. Foi obtida diferença significativa para as concentrações de 360 e 720 g de P</w:t>
      </w:r>
      <w:r w:rsidR="00946126" w:rsidRPr="00457618">
        <w:rPr>
          <w:rFonts w:ascii="Times New Roman" w:hAnsi="Times New Roman" w:cs="Times New Roman"/>
          <w:sz w:val="24"/>
          <w:szCs w:val="24"/>
          <w:vertAlign w:val="subscript"/>
        </w:rPr>
        <w:t>2</w:t>
      </w:r>
      <w:r w:rsidR="00946126" w:rsidRPr="00457618">
        <w:rPr>
          <w:rFonts w:ascii="Times New Roman" w:hAnsi="Times New Roman" w:cs="Times New Roman"/>
          <w:sz w:val="24"/>
          <w:szCs w:val="24"/>
        </w:rPr>
        <w:t>O</w:t>
      </w:r>
      <w:r w:rsidR="00946126" w:rsidRPr="00457618">
        <w:rPr>
          <w:rFonts w:ascii="Times New Roman" w:hAnsi="Times New Roman" w:cs="Times New Roman"/>
          <w:sz w:val="24"/>
          <w:szCs w:val="24"/>
          <w:vertAlign w:val="subscript"/>
        </w:rPr>
        <w:t>5</w:t>
      </w:r>
      <w:r w:rsidR="00946126" w:rsidRPr="00457618">
        <w:rPr>
          <w:rFonts w:ascii="Times New Roman" w:hAnsi="Times New Roman" w:cs="Times New Roman"/>
          <w:sz w:val="24"/>
          <w:szCs w:val="24"/>
        </w:rPr>
        <w:t xml:space="preserve">/m³ </w:t>
      </w:r>
      <w:r w:rsidR="0034761F" w:rsidRPr="00457618">
        <w:rPr>
          <w:rFonts w:ascii="Times New Roman" w:hAnsi="Times New Roman" w:cs="Times New Roman"/>
          <w:sz w:val="24"/>
          <w:szCs w:val="24"/>
        </w:rPr>
        <w:t xml:space="preserve">de substrato </w:t>
      </w:r>
      <w:r w:rsidR="00946126" w:rsidRPr="00457618">
        <w:rPr>
          <w:rFonts w:ascii="Times New Roman" w:hAnsi="Times New Roman" w:cs="Times New Roman"/>
          <w:sz w:val="24"/>
          <w:szCs w:val="24"/>
        </w:rPr>
        <w:t xml:space="preserve">ao considerar os testes </w:t>
      </w:r>
      <w:r w:rsidR="00860D61" w:rsidRPr="00457618">
        <w:rPr>
          <w:rFonts w:ascii="Times New Roman" w:hAnsi="Times New Roman" w:cs="Times New Roman"/>
          <w:sz w:val="24"/>
          <w:szCs w:val="24"/>
        </w:rPr>
        <w:t>de Welch e ANOVA</w:t>
      </w:r>
      <w:r w:rsidR="00946126" w:rsidRPr="00457618">
        <w:rPr>
          <w:rFonts w:ascii="Times New Roman" w:hAnsi="Times New Roman" w:cs="Times New Roman"/>
          <w:sz w:val="24"/>
          <w:szCs w:val="24"/>
        </w:rPr>
        <w:t>. Para a</w:t>
      </w:r>
      <w:r w:rsidR="00E90477" w:rsidRPr="00457618">
        <w:rPr>
          <w:rFonts w:ascii="Times New Roman" w:hAnsi="Times New Roman" w:cs="Times New Roman"/>
          <w:sz w:val="24"/>
          <w:szCs w:val="24"/>
        </w:rPr>
        <w:t>s duas concentrações referidas a produção de mudas nos</w:t>
      </w:r>
      <w:r w:rsidR="00946126" w:rsidRPr="00457618">
        <w:rPr>
          <w:rFonts w:ascii="Times New Roman" w:hAnsi="Times New Roman" w:cs="Times New Roman"/>
          <w:sz w:val="24"/>
          <w:szCs w:val="24"/>
        </w:rPr>
        <w:t xml:space="preserve"> tubete</w:t>
      </w:r>
      <w:r w:rsidR="00E90477" w:rsidRPr="00457618">
        <w:rPr>
          <w:rFonts w:ascii="Times New Roman" w:hAnsi="Times New Roman" w:cs="Times New Roman"/>
          <w:sz w:val="24"/>
          <w:szCs w:val="24"/>
        </w:rPr>
        <w:t>s</w:t>
      </w:r>
      <w:r w:rsidR="00946126" w:rsidRPr="00457618">
        <w:rPr>
          <w:rFonts w:ascii="Times New Roman" w:hAnsi="Times New Roman" w:cs="Times New Roman"/>
          <w:sz w:val="24"/>
          <w:szCs w:val="24"/>
        </w:rPr>
        <w:t xml:space="preserve"> de 120 cm³ promoveu maiores </w:t>
      </w:r>
      <w:r w:rsidR="00902489" w:rsidRPr="00457618">
        <w:rPr>
          <w:rFonts w:ascii="Times New Roman" w:hAnsi="Times New Roman" w:cs="Times New Roman"/>
          <w:sz w:val="24"/>
          <w:szCs w:val="24"/>
        </w:rPr>
        <w:t>valores de IQD</w:t>
      </w:r>
      <w:r w:rsidR="00946126" w:rsidRPr="00457618">
        <w:rPr>
          <w:rFonts w:ascii="Times New Roman" w:hAnsi="Times New Roman" w:cs="Times New Roman"/>
          <w:sz w:val="24"/>
          <w:szCs w:val="24"/>
        </w:rPr>
        <w:t>.</w:t>
      </w:r>
    </w:p>
    <w:p w14:paraId="1CDFC44A" w14:textId="17E217E8" w:rsidR="00946126" w:rsidRPr="004A0730" w:rsidRDefault="00946126" w:rsidP="002B4414">
      <w:pPr>
        <w:spacing w:after="0" w:line="480" w:lineRule="auto"/>
        <w:jc w:val="both"/>
        <w:rPr>
          <w:rFonts w:ascii="Times New Roman" w:hAnsi="Times New Roman" w:cs="Times New Roman"/>
          <w:sz w:val="24"/>
          <w:szCs w:val="24"/>
        </w:rPr>
      </w:pPr>
      <w:commentRangeStart w:id="7"/>
      <w:r w:rsidRPr="004A0730">
        <w:rPr>
          <w:rFonts w:ascii="Times New Roman" w:hAnsi="Times New Roman" w:cs="Times New Roman"/>
          <w:b/>
          <w:bCs/>
          <w:sz w:val="24"/>
          <w:szCs w:val="24"/>
        </w:rPr>
        <w:t>T</w:t>
      </w:r>
      <w:r w:rsidR="00124F7E" w:rsidRPr="004A0730">
        <w:rPr>
          <w:rFonts w:ascii="Times New Roman" w:hAnsi="Times New Roman" w:cs="Times New Roman"/>
          <w:b/>
          <w:bCs/>
          <w:sz w:val="24"/>
          <w:szCs w:val="24"/>
        </w:rPr>
        <w:t>ABELA</w:t>
      </w:r>
      <w:r w:rsidR="00FE339C" w:rsidRPr="004A0730">
        <w:rPr>
          <w:rFonts w:ascii="Times New Roman" w:hAnsi="Times New Roman" w:cs="Times New Roman"/>
          <w:b/>
          <w:bCs/>
          <w:sz w:val="24"/>
          <w:szCs w:val="24"/>
        </w:rPr>
        <w:t xml:space="preserve"> 1.</w:t>
      </w:r>
      <w:r w:rsidRPr="004A0730">
        <w:rPr>
          <w:rFonts w:ascii="Times New Roman" w:hAnsi="Times New Roman" w:cs="Times New Roman"/>
          <w:sz w:val="24"/>
          <w:szCs w:val="24"/>
        </w:rPr>
        <w:t xml:space="preserve"> </w:t>
      </w:r>
      <w:commentRangeEnd w:id="7"/>
      <w:r w:rsidR="00D64C22">
        <w:rPr>
          <w:rStyle w:val="Refdecomentrio"/>
          <w:lang w:eastAsia="pt-BR"/>
        </w:rPr>
        <w:commentReference w:id="7"/>
      </w:r>
      <w:r w:rsidRPr="004A0730">
        <w:rPr>
          <w:rFonts w:ascii="Times New Roman" w:hAnsi="Times New Roman" w:cs="Times New Roman"/>
          <w:sz w:val="24"/>
          <w:szCs w:val="24"/>
        </w:rPr>
        <w:t>Média e desvio-padrão de Índice de Qualidad</w:t>
      </w:r>
      <w:r w:rsidR="00DB05A7" w:rsidRPr="004A0730">
        <w:rPr>
          <w:rFonts w:ascii="Times New Roman" w:hAnsi="Times New Roman" w:cs="Times New Roman"/>
          <w:sz w:val="24"/>
          <w:szCs w:val="24"/>
        </w:rPr>
        <w:t xml:space="preserve">e de Dickson para os diferentes </w:t>
      </w:r>
      <w:r w:rsidRPr="004A0730">
        <w:rPr>
          <w:rFonts w:ascii="Times New Roman" w:hAnsi="Times New Roman" w:cs="Times New Roman"/>
          <w:sz w:val="24"/>
          <w:szCs w:val="24"/>
        </w:rPr>
        <w:t>recipientes em cada concentração de P</w:t>
      </w:r>
      <w:r w:rsidRPr="004A0730">
        <w:rPr>
          <w:rFonts w:ascii="Times New Roman" w:hAnsi="Times New Roman" w:cs="Times New Roman"/>
          <w:sz w:val="24"/>
          <w:szCs w:val="24"/>
          <w:vertAlign w:val="subscript"/>
        </w:rPr>
        <w:t>2</w:t>
      </w:r>
      <w:r w:rsidRPr="004A0730">
        <w:rPr>
          <w:rFonts w:ascii="Times New Roman" w:hAnsi="Times New Roman" w:cs="Times New Roman"/>
          <w:sz w:val="24"/>
          <w:szCs w:val="24"/>
        </w:rPr>
        <w:t>O</w:t>
      </w:r>
      <w:r w:rsidRPr="004A0730">
        <w:rPr>
          <w:rFonts w:ascii="Times New Roman" w:hAnsi="Times New Roman" w:cs="Times New Roman"/>
          <w:sz w:val="24"/>
          <w:szCs w:val="24"/>
          <w:vertAlign w:val="subscript"/>
        </w:rPr>
        <w:t>5</w:t>
      </w:r>
      <w:r w:rsidRPr="004A0730">
        <w:rPr>
          <w:rFonts w:ascii="Times New Roman" w:hAnsi="Times New Roman" w:cs="Times New Roman"/>
          <w:sz w:val="24"/>
          <w:szCs w:val="24"/>
        </w:rPr>
        <w:t xml:space="preserve"> para </w:t>
      </w:r>
      <w:r w:rsidRPr="004A0730">
        <w:rPr>
          <w:rFonts w:ascii="Times New Roman" w:hAnsi="Times New Roman" w:cs="Times New Roman"/>
          <w:i/>
          <w:iCs/>
          <w:sz w:val="24"/>
          <w:szCs w:val="24"/>
        </w:rPr>
        <w:t xml:space="preserve">Sapindus saponaria </w:t>
      </w:r>
      <w:r w:rsidRPr="004A0730">
        <w:rPr>
          <w:rFonts w:ascii="Times New Roman" w:hAnsi="Times New Roman" w:cs="Times New Roman"/>
          <w:sz w:val="24"/>
          <w:szCs w:val="24"/>
        </w:rPr>
        <w:t>L.</w:t>
      </w:r>
    </w:p>
    <w:tbl>
      <w:tblPr>
        <w:tblW w:w="9424" w:type="dxa"/>
        <w:tblInd w:w="-68" w:type="dxa"/>
        <w:tblCellMar>
          <w:left w:w="70" w:type="dxa"/>
          <w:right w:w="70" w:type="dxa"/>
        </w:tblCellMar>
        <w:tblLook w:val="00A0" w:firstRow="1" w:lastRow="0" w:firstColumn="1" w:lastColumn="0" w:noHBand="0" w:noVBand="0"/>
      </w:tblPr>
      <w:tblGrid>
        <w:gridCol w:w="3329"/>
        <w:gridCol w:w="1470"/>
        <w:gridCol w:w="1843"/>
        <w:gridCol w:w="1506"/>
        <w:gridCol w:w="1276"/>
      </w:tblGrid>
      <w:tr w:rsidR="00946126" w:rsidRPr="00E86C13" w14:paraId="2143DBE6" w14:textId="77777777" w:rsidTr="00DA507A">
        <w:trPr>
          <w:trHeight w:val="315"/>
        </w:trPr>
        <w:tc>
          <w:tcPr>
            <w:tcW w:w="3329" w:type="dxa"/>
            <w:vMerge w:val="restart"/>
            <w:tcBorders>
              <w:top w:val="single" w:sz="4" w:space="0" w:color="auto"/>
              <w:left w:val="nil"/>
              <w:bottom w:val="single" w:sz="4" w:space="0" w:color="000000"/>
              <w:right w:val="nil"/>
            </w:tcBorders>
            <w:noWrap/>
            <w:vAlign w:val="center"/>
          </w:tcPr>
          <w:p w14:paraId="4F7A09BF" w14:textId="77777777" w:rsidR="00946126" w:rsidRPr="00E86C13" w:rsidRDefault="00946126"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Concentração de P</w:t>
            </w:r>
            <w:r w:rsidRPr="00E86C13">
              <w:rPr>
                <w:rFonts w:ascii="Times New Roman" w:hAnsi="Times New Roman" w:cs="Times New Roman"/>
                <w:b/>
                <w:bCs/>
                <w:color w:val="000000"/>
                <w:sz w:val="20"/>
                <w:szCs w:val="20"/>
                <w:vertAlign w:val="subscript"/>
                <w:lang w:eastAsia="pt-BR"/>
              </w:rPr>
              <w:t>2</w:t>
            </w:r>
            <w:r w:rsidRPr="00E86C13">
              <w:rPr>
                <w:rFonts w:ascii="Times New Roman" w:hAnsi="Times New Roman" w:cs="Times New Roman"/>
                <w:b/>
                <w:bCs/>
                <w:color w:val="000000"/>
                <w:sz w:val="20"/>
                <w:szCs w:val="20"/>
                <w:lang w:eastAsia="pt-BR"/>
              </w:rPr>
              <w:t>O</w:t>
            </w:r>
            <w:r w:rsidRPr="00E86C13">
              <w:rPr>
                <w:rFonts w:ascii="Times New Roman" w:hAnsi="Times New Roman" w:cs="Times New Roman"/>
                <w:b/>
                <w:bCs/>
                <w:color w:val="000000"/>
                <w:sz w:val="20"/>
                <w:szCs w:val="20"/>
                <w:vertAlign w:val="subscript"/>
                <w:lang w:eastAsia="pt-BR"/>
              </w:rPr>
              <w:t>5</w:t>
            </w:r>
            <w:r w:rsidRPr="00E86C13">
              <w:rPr>
                <w:rFonts w:ascii="Times New Roman" w:hAnsi="Times New Roman" w:cs="Times New Roman"/>
                <w:b/>
                <w:bCs/>
                <w:color w:val="000000"/>
                <w:sz w:val="20"/>
                <w:szCs w:val="20"/>
                <w:lang w:eastAsia="pt-BR"/>
              </w:rPr>
              <w:t xml:space="preserve"> (g/m³)</w:t>
            </w:r>
          </w:p>
        </w:tc>
        <w:tc>
          <w:tcPr>
            <w:tcW w:w="3313" w:type="dxa"/>
            <w:gridSpan w:val="2"/>
            <w:tcBorders>
              <w:top w:val="single" w:sz="4" w:space="0" w:color="auto"/>
              <w:left w:val="nil"/>
              <w:bottom w:val="nil"/>
              <w:right w:val="nil"/>
            </w:tcBorders>
            <w:noWrap/>
            <w:vAlign w:val="bottom"/>
          </w:tcPr>
          <w:p w14:paraId="17D4CD70" w14:textId="77777777" w:rsidR="00946126" w:rsidRPr="00E86C13" w:rsidRDefault="00946126"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Recipiente</w:t>
            </w:r>
          </w:p>
        </w:tc>
        <w:tc>
          <w:tcPr>
            <w:tcW w:w="1506" w:type="dxa"/>
            <w:vMerge w:val="restart"/>
            <w:tcBorders>
              <w:top w:val="single" w:sz="4" w:space="0" w:color="auto"/>
              <w:left w:val="nil"/>
              <w:bottom w:val="single" w:sz="4" w:space="0" w:color="000000"/>
              <w:right w:val="nil"/>
            </w:tcBorders>
            <w:noWrap/>
            <w:vAlign w:val="center"/>
          </w:tcPr>
          <w:p w14:paraId="59DA0E7D" w14:textId="77777777" w:rsidR="00946126" w:rsidRPr="00E86C13" w:rsidRDefault="00946126"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T (p-valor)</w:t>
            </w:r>
          </w:p>
        </w:tc>
        <w:tc>
          <w:tcPr>
            <w:tcW w:w="1276" w:type="dxa"/>
            <w:vMerge w:val="restart"/>
            <w:tcBorders>
              <w:top w:val="single" w:sz="4" w:space="0" w:color="auto"/>
              <w:left w:val="nil"/>
              <w:bottom w:val="single" w:sz="4" w:space="0" w:color="000000"/>
              <w:right w:val="nil"/>
            </w:tcBorders>
            <w:noWrap/>
            <w:vAlign w:val="center"/>
          </w:tcPr>
          <w:p w14:paraId="1D6AB238" w14:textId="4626A1B8" w:rsidR="00946126" w:rsidRPr="00E86C13" w:rsidRDefault="00860D61"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F</w:t>
            </w:r>
            <w:r w:rsidR="0027340D" w:rsidRPr="00E86C13">
              <w:rPr>
                <w:rFonts w:ascii="Times New Roman" w:hAnsi="Times New Roman" w:cs="Times New Roman"/>
                <w:b/>
                <w:bCs/>
                <w:color w:val="000000"/>
                <w:sz w:val="20"/>
                <w:szCs w:val="20"/>
                <w:lang w:eastAsia="pt-BR"/>
              </w:rPr>
              <w:t xml:space="preserve"> </w:t>
            </w:r>
            <w:r w:rsidRPr="00E86C13">
              <w:rPr>
                <w:rFonts w:ascii="Times New Roman" w:hAnsi="Times New Roman" w:cs="Times New Roman"/>
                <w:b/>
                <w:bCs/>
                <w:color w:val="000000"/>
                <w:sz w:val="20"/>
                <w:szCs w:val="20"/>
                <w:lang w:eastAsia="pt-BR"/>
              </w:rPr>
              <w:t>(p-valor)</w:t>
            </w:r>
          </w:p>
        </w:tc>
      </w:tr>
      <w:tr w:rsidR="00946126" w:rsidRPr="00E86C13" w14:paraId="533DAB60" w14:textId="77777777" w:rsidTr="00DA507A">
        <w:trPr>
          <w:trHeight w:val="315"/>
        </w:trPr>
        <w:tc>
          <w:tcPr>
            <w:tcW w:w="3329" w:type="dxa"/>
            <w:vMerge/>
            <w:tcBorders>
              <w:top w:val="single" w:sz="4" w:space="0" w:color="auto"/>
              <w:left w:val="nil"/>
              <w:bottom w:val="single" w:sz="4" w:space="0" w:color="000000"/>
              <w:right w:val="nil"/>
            </w:tcBorders>
            <w:vAlign w:val="center"/>
          </w:tcPr>
          <w:p w14:paraId="4357B9F5" w14:textId="77777777" w:rsidR="00946126" w:rsidRPr="00E86C13" w:rsidRDefault="00946126" w:rsidP="00926E1A">
            <w:pPr>
              <w:spacing w:after="0" w:line="480" w:lineRule="auto"/>
              <w:rPr>
                <w:rFonts w:ascii="Times New Roman" w:hAnsi="Times New Roman" w:cs="Times New Roman"/>
                <w:b/>
                <w:bCs/>
                <w:color w:val="000000"/>
                <w:sz w:val="20"/>
                <w:szCs w:val="20"/>
                <w:lang w:eastAsia="pt-BR"/>
              </w:rPr>
            </w:pPr>
          </w:p>
        </w:tc>
        <w:tc>
          <w:tcPr>
            <w:tcW w:w="1470" w:type="dxa"/>
            <w:tcBorders>
              <w:top w:val="single" w:sz="4" w:space="0" w:color="auto"/>
              <w:left w:val="nil"/>
              <w:bottom w:val="single" w:sz="4" w:space="0" w:color="auto"/>
              <w:right w:val="nil"/>
            </w:tcBorders>
            <w:noWrap/>
            <w:vAlign w:val="bottom"/>
          </w:tcPr>
          <w:p w14:paraId="1785B6B6" w14:textId="77777777" w:rsidR="00946126" w:rsidRPr="00E86C13" w:rsidRDefault="00946126"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120 cm³</w:t>
            </w:r>
          </w:p>
        </w:tc>
        <w:tc>
          <w:tcPr>
            <w:tcW w:w="1843" w:type="dxa"/>
            <w:tcBorders>
              <w:top w:val="single" w:sz="4" w:space="0" w:color="auto"/>
              <w:left w:val="nil"/>
              <w:bottom w:val="single" w:sz="4" w:space="0" w:color="auto"/>
              <w:right w:val="nil"/>
            </w:tcBorders>
            <w:noWrap/>
            <w:vAlign w:val="bottom"/>
          </w:tcPr>
          <w:p w14:paraId="7FBF1B43" w14:textId="77777777" w:rsidR="00946126" w:rsidRPr="00E86C13" w:rsidRDefault="00946126" w:rsidP="00926E1A">
            <w:pPr>
              <w:spacing w:after="0" w:line="480" w:lineRule="auto"/>
              <w:jc w:val="center"/>
              <w:rPr>
                <w:rFonts w:ascii="Times New Roman" w:hAnsi="Times New Roman" w:cs="Times New Roman"/>
                <w:b/>
                <w:bCs/>
                <w:color w:val="000000"/>
                <w:sz w:val="20"/>
                <w:szCs w:val="20"/>
                <w:lang w:eastAsia="pt-BR"/>
              </w:rPr>
            </w:pPr>
            <w:r w:rsidRPr="00E86C13">
              <w:rPr>
                <w:rFonts w:ascii="Times New Roman" w:hAnsi="Times New Roman" w:cs="Times New Roman"/>
                <w:b/>
                <w:bCs/>
                <w:color w:val="000000"/>
                <w:sz w:val="20"/>
                <w:szCs w:val="20"/>
                <w:lang w:eastAsia="pt-BR"/>
              </w:rPr>
              <w:t>56 cm³</w:t>
            </w:r>
          </w:p>
        </w:tc>
        <w:tc>
          <w:tcPr>
            <w:tcW w:w="1506" w:type="dxa"/>
            <w:vMerge/>
            <w:tcBorders>
              <w:top w:val="single" w:sz="4" w:space="0" w:color="auto"/>
              <w:left w:val="nil"/>
              <w:bottom w:val="single" w:sz="4" w:space="0" w:color="000000"/>
              <w:right w:val="nil"/>
            </w:tcBorders>
            <w:vAlign w:val="center"/>
          </w:tcPr>
          <w:p w14:paraId="6185CD8D" w14:textId="77777777" w:rsidR="00946126" w:rsidRPr="00E86C13" w:rsidRDefault="00946126" w:rsidP="00926E1A">
            <w:pPr>
              <w:spacing w:after="0" w:line="480" w:lineRule="auto"/>
              <w:rPr>
                <w:rFonts w:ascii="Times New Roman" w:hAnsi="Times New Roman" w:cs="Times New Roman"/>
                <w:b/>
                <w:bCs/>
                <w:color w:val="000000"/>
                <w:sz w:val="20"/>
                <w:szCs w:val="20"/>
                <w:lang w:eastAsia="pt-BR"/>
              </w:rPr>
            </w:pPr>
          </w:p>
        </w:tc>
        <w:tc>
          <w:tcPr>
            <w:tcW w:w="1276" w:type="dxa"/>
            <w:vMerge/>
            <w:tcBorders>
              <w:top w:val="single" w:sz="4" w:space="0" w:color="auto"/>
              <w:left w:val="nil"/>
              <w:bottom w:val="single" w:sz="4" w:space="0" w:color="000000"/>
              <w:right w:val="nil"/>
            </w:tcBorders>
            <w:vAlign w:val="center"/>
          </w:tcPr>
          <w:p w14:paraId="652B8FEF" w14:textId="77777777" w:rsidR="00946126" w:rsidRPr="00E86C13" w:rsidRDefault="00946126" w:rsidP="00926E1A">
            <w:pPr>
              <w:spacing w:after="0" w:line="480" w:lineRule="auto"/>
              <w:rPr>
                <w:rFonts w:ascii="Times New Roman" w:hAnsi="Times New Roman" w:cs="Times New Roman"/>
                <w:b/>
                <w:bCs/>
                <w:color w:val="000000"/>
                <w:sz w:val="20"/>
                <w:szCs w:val="20"/>
                <w:lang w:eastAsia="pt-BR"/>
              </w:rPr>
            </w:pPr>
          </w:p>
        </w:tc>
      </w:tr>
      <w:tr w:rsidR="00860D61" w:rsidRPr="00E86C13" w14:paraId="285F5401" w14:textId="77777777" w:rsidTr="00DA507A">
        <w:trPr>
          <w:trHeight w:val="315"/>
        </w:trPr>
        <w:tc>
          <w:tcPr>
            <w:tcW w:w="3329" w:type="dxa"/>
            <w:tcBorders>
              <w:top w:val="nil"/>
              <w:left w:val="nil"/>
              <w:bottom w:val="nil"/>
              <w:right w:val="nil"/>
            </w:tcBorders>
            <w:noWrap/>
            <w:vAlign w:val="bottom"/>
          </w:tcPr>
          <w:p w14:paraId="7FE45CC2"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180</w:t>
            </w:r>
          </w:p>
        </w:tc>
        <w:tc>
          <w:tcPr>
            <w:tcW w:w="1470" w:type="dxa"/>
            <w:tcBorders>
              <w:top w:val="nil"/>
              <w:left w:val="nil"/>
              <w:bottom w:val="nil"/>
              <w:right w:val="nil"/>
            </w:tcBorders>
            <w:noWrap/>
            <w:vAlign w:val="bottom"/>
          </w:tcPr>
          <w:p w14:paraId="76C78B57" w14:textId="70C179D3"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0,31(</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0,10)</w:t>
            </w:r>
          </w:p>
        </w:tc>
        <w:tc>
          <w:tcPr>
            <w:tcW w:w="1843" w:type="dxa"/>
            <w:tcBorders>
              <w:top w:val="nil"/>
              <w:left w:val="nil"/>
              <w:bottom w:val="nil"/>
              <w:right w:val="nil"/>
            </w:tcBorders>
            <w:noWrap/>
            <w:vAlign w:val="bottom"/>
          </w:tcPr>
          <w:p w14:paraId="60397506" w14:textId="3CD326BA" w:rsidR="00860D61" w:rsidRPr="00E86C13" w:rsidRDefault="00860D61"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0,20(</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0,05)</w:t>
            </w:r>
          </w:p>
        </w:tc>
        <w:tc>
          <w:tcPr>
            <w:tcW w:w="1506" w:type="dxa"/>
            <w:tcBorders>
              <w:top w:val="nil"/>
              <w:left w:val="nil"/>
              <w:bottom w:val="nil"/>
              <w:right w:val="nil"/>
            </w:tcBorders>
            <w:noWrap/>
            <w:vAlign w:val="bottom"/>
          </w:tcPr>
          <w:p w14:paraId="174B6117"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2,197 (0,059)</w:t>
            </w:r>
          </w:p>
        </w:tc>
        <w:tc>
          <w:tcPr>
            <w:tcW w:w="1276" w:type="dxa"/>
            <w:tcBorders>
              <w:top w:val="nil"/>
              <w:left w:val="nil"/>
              <w:bottom w:val="nil"/>
              <w:right w:val="nil"/>
            </w:tcBorders>
            <w:noWrap/>
          </w:tcPr>
          <w:p w14:paraId="41D87723" w14:textId="1B01AAC1"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val="en-US" w:eastAsia="pt-BR"/>
              </w:rPr>
              <w:t>4,83 (0,059)</w:t>
            </w:r>
          </w:p>
        </w:tc>
      </w:tr>
      <w:tr w:rsidR="00860D61" w:rsidRPr="00E86C13" w14:paraId="0794623F" w14:textId="77777777" w:rsidTr="00DA507A">
        <w:trPr>
          <w:trHeight w:val="315"/>
        </w:trPr>
        <w:tc>
          <w:tcPr>
            <w:tcW w:w="3329" w:type="dxa"/>
            <w:tcBorders>
              <w:top w:val="nil"/>
              <w:left w:val="nil"/>
              <w:bottom w:val="nil"/>
              <w:right w:val="nil"/>
            </w:tcBorders>
            <w:noWrap/>
            <w:vAlign w:val="bottom"/>
          </w:tcPr>
          <w:p w14:paraId="6C267F7B"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360</w:t>
            </w:r>
          </w:p>
        </w:tc>
        <w:tc>
          <w:tcPr>
            <w:tcW w:w="1470" w:type="dxa"/>
            <w:tcBorders>
              <w:top w:val="nil"/>
              <w:left w:val="nil"/>
              <w:bottom w:val="nil"/>
              <w:right w:val="nil"/>
            </w:tcBorders>
            <w:noWrap/>
            <w:vAlign w:val="bottom"/>
          </w:tcPr>
          <w:p w14:paraId="1BF578B6" w14:textId="4885B4A1" w:rsidR="00860D61" w:rsidRPr="00E86C13" w:rsidRDefault="00860D61"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0,29(</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0,09)</w:t>
            </w:r>
          </w:p>
        </w:tc>
        <w:tc>
          <w:tcPr>
            <w:tcW w:w="1843" w:type="dxa"/>
            <w:tcBorders>
              <w:top w:val="nil"/>
              <w:left w:val="nil"/>
              <w:bottom w:val="nil"/>
              <w:right w:val="nil"/>
            </w:tcBorders>
            <w:noWrap/>
            <w:vAlign w:val="bottom"/>
          </w:tcPr>
          <w:p w14:paraId="3324AEAB" w14:textId="5CB062FA" w:rsidR="00860D61" w:rsidRPr="00E86C13" w:rsidRDefault="005F786A"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0,14</w:t>
            </w:r>
            <w:r w:rsidR="00860D61"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w:t>
            </w:r>
            <w:r w:rsidR="00860D61" w:rsidRPr="00E86C13">
              <w:rPr>
                <w:rFonts w:ascii="Times New Roman" w:hAnsi="Times New Roman" w:cs="Times New Roman"/>
                <w:color w:val="000000"/>
                <w:sz w:val="20"/>
                <w:szCs w:val="20"/>
                <w:lang w:eastAsia="pt-BR"/>
              </w:rPr>
              <w:t>0,04)</w:t>
            </w:r>
          </w:p>
        </w:tc>
        <w:tc>
          <w:tcPr>
            <w:tcW w:w="1506" w:type="dxa"/>
            <w:tcBorders>
              <w:top w:val="nil"/>
              <w:left w:val="nil"/>
              <w:bottom w:val="nil"/>
              <w:right w:val="nil"/>
            </w:tcBorders>
            <w:noWrap/>
            <w:vAlign w:val="bottom"/>
          </w:tcPr>
          <w:p w14:paraId="214D93B7"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3,347 (0,017)</w:t>
            </w:r>
          </w:p>
        </w:tc>
        <w:tc>
          <w:tcPr>
            <w:tcW w:w="1276" w:type="dxa"/>
            <w:tcBorders>
              <w:top w:val="nil"/>
              <w:left w:val="nil"/>
              <w:bottom w:val="nil"/>
              <w:right w:val="nil"/>
            </w:tcBorders>
            <w:noWrap/>
          </w:tcPr>
          <w:p w14:paraId="382892CC" w14:textId="2A00766C"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val="en-US" w:eastAsia="pt-BR"/>
              </w:rPr>
              <w:t>11,2 (0,010)</w:t>
            </w:r>
          </w:p>
        </w:tc>
      </w:tr>
      <w:tr w:rsidR="00860D61" w:rsidRPr="00E86C13" w14:paraId="0215945C" w14:textId="77777777" w:rsidTr="00DA507A">
        <w:trPr>
          <w:trHeight w:val="315"/>
        </w:trPr>
        <w:tc>
          <w:tcPr>
            <w:tcW w:w="3329" w:type="dxa"/>
            <w:tcBorders>
              <w:top w:val="nil"/>
              <w:left w:val="nil"/>
              <w:bottom w:val="nil"/>
              <w:right w:val="nil"/>
            </w:tcBorders>
            <w:noWrap/>
            <w:vAlign w:val="bottom"/>
          </w:tcPr>
          <w:p w14:paraId="6289BEF6"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lastRenderedPageBreak/>
              <w:t>540</w:t>
            </w:r>
          </w:p>
        </w:tc>
        <w:tc>
          <w:tcPr>
            <w:tcW w:w="1470" w:type="dxa"/>
            <w:tcBorders>
              <w:top w:val="nil"/>
              <w:left w:val="nil"/>
              <w:bottom w:val="nil"/>
              <w:right w:val="nil"/>
            </w:tcBorders>
            <w:noWrap/>
            <w:vAlign w:val="bottom"/>
          </w:tcPr>
          <w:p w14:paraId="596FC66C" w14:textId="72E94E12" w:rsidR="00860D61" w:rsidRPr="00E86C13" w:rsidRDefault="00860D61"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0,25(</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0,09)</w:t>
            </w:r>
          </w:p>
        </w:tc>
        <w:tc>
          <w:tcPr>
            <w:tcW w:w="1843" w:type="dxa"/>
            <w:tcBorders>
              <w:top w:val="nil"/>
              <w:left w:val="nil"/>
              <w:bottom w:val="nil"/>
              <w:right w:val="nil"/>
            </w:tcBorders>
            <w:noWrap/>
            <w:vAlign w:val="bottom"/>
          </w:tcPr>
          <w:p w14:paraId="301BFC05" w14:textId="29522169" w:rsidR="00860D61" w:rsidRPr="00E86C13" w:rsidRDefault="005F786A"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0,20(</w:t>
            </w:r>
            <w:r w:rsidRPr="00E86C13">
              <w:rPr>
                <w:rFonts w:ascii="Times New Roman" w:hAnsi="Times New Roman" w:cs="Times New Roman"/>
                <w:color w:val="000000"/>
                <w:sz w:val="20"/>
                <w:szCs w:val="20"/>
                <w:lang w:eastAsia="pt-BR"/>
              </w:rPr>
              <w:t>±</w:t>
            </w:r>
            <w:r w:rsidR="00860D61" w:rsidRPr="00E86C13">
              <w:rPr>
                <w:rFonts w:ascii="Times New Roman" w:hAnsi="Times New Roman" w:cs="Times New Roman"/>
                <w:color w:val="000000"/>
                <w:sz w:val="20"/>
                <w:szCs w:val="20"/>
                <w:lang w:eastAsia="pt-BR"/>
              </w:rPr>
              <w:t>0,05)</w:t>
            </w:r>
          </w:p>
        </w:tc>
        <w:tc>
          <w:tcPr>
            <w:tcW w:w="1506" w:type="dxa"/>
            <w:tcBorders>
              <w:top w:val="nil"/>
              <w:left w:val="nil"/>
              <w:bottom w:val="nil"/>
              <w:right w:val="nil"/>
            </w:tcBorders>
            <w:noWrap/>
            <w:vAlign w:val="bottom"/>
          </w:tcPr>
          <w:p w14:paraId="3CA01D0A"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1,246 (0,248)</w:t>
            </w:r>
          </w:p>
        </w:tc>
        <w:tc>
          <w:tcPr>
            <w:tcW w:w="1276" w:type="dxa"/>
            <w:tcBorders>
              <w:top w:val="nil"/>
              <w:left w:val="nil"/>
              <w:bottom w:val="nil"/>
              <w:right w:val="nil"/>
            </w:tcBorders>
            <w:noWrap/>
          </w:tcPr>
          <w:p w14:paraId="6586DE93" w14:textId="6ECBCB92"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val="en-US" w:eastAsia="pt-BR"/>
              </w:rPr>
              <w:t>1,55 (0,248)</w:t>
            </w:r>
          </w:p>
        </w:tc>
      </w:tr>
      <w:tr w:rsidR="00860D61" w:rsidRPr="00E86C13" w14:paraId="20B92695" w14:textId="77777777" w:rsidTr="00DA507A">
        <w:trPr>
          <w:trHeight w:val="315"/>
        </w:trPr>
        <w:tc>
          <w:tcPr>
            <w:tcW w:w="3329" w:type="dxa"/>
            <w:tcBorders>
              <w:top w:val="nil"/>
              <w:left w:val="nil"/>
              <w:bottom w:val="nil"/>
              <w:right w:val="nil"/>
            </w:tcBorders>
            <w:noWrap/>
            <w:vAlign w:val="bottom"/>
          </w:tcPr>
          <w:p w14:paraId="10E93091"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720</w:t>
            </w:r>
          </w:p>
        </w:tc>
        <w:tc>
          <w:tcPr>
            <w:tcW w:w="1470" w:type="dxa"/>
            <w:tcBorders>
              <w:top w:val="nil"/>
              <w:left w:val="nil"/>
              <w:bottom w:val="nil"/>
              <w:right w:val="nil"/>
            </w:tcBorders>
            <w:noWrap/>
            <w:vAlign w:val="bottom"/>
          </w:tcPr>
          <w:p w14:paraId="5CF8E56C" w14:textId="407D5B56" w:rsidR="00860D61" w:rsidRPr="00E86C13" w:rsidRDefault="00860D61"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0,31(</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0,04)</w:t>
            </w:r>
          </w:p>
        </w:tc>
        <w:tc>
          <w:tcPr>
            <w:tcW w:w="1843" w:type="dxa"/>
            <w:tcBorders>
              <w:top w:val="nil"/>
              <w:left w:val="nil"/>
              <w:bottom w:val="nil"/>
              <w:right w:val="nil"/>
            </w:tcBorders>
            <w:noWrap/>
            <w:vAlign w:val="bottom"/>
          </w:tcPr>
          <w:p w14:paraId="53863A4C" w14:textId="6F46082A" w:rsidR="00860D61" w:rsidRPr="00E86C13" w:rsidRDefault="005F786A"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0,16</w:t>
            </w:r>
            <w:r w:rsidR="00860D61"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w:t>
            </w:r>
            <w:r w:rsidR="00860D61" w:rsidRPr="00E86C13">
              <w:rPr>
                <w:rFonts w:ascii="Times New Roman" w:hAnsi="Times New Roman" w:cs="Times New Roman"/>
                <w:color w:val="000000"/>
                <w:sz w:val="20"/>
                <w:szCs w:val="20"/>
                <w:lang w:eastAsia="pt-BR"/>
              </w:rPr>
              <w:t>0,04)</w:t>
            </w:r>
          </w:p>
        </w:tc>
        <w:tc>
          <w:tcPr>
            <w:tcW w:w="1506" w:type="dxa"/>
            <w:tcBorders>
              <w:top w:val="nil"/>
              <w:left w:val="nil"/>
              <w:bottom w:val="nil"/>
              <w:right w:val="nil"/>
            </w:tcBorders>
            <w:noWrap/>
            <w:vAlign w:val="bottom"/>
          </w:tcPr>
          <w:p w14:paraId="5F775C2F"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6,064 (&lt;0,001)</w:t>
            </w:r>
          </w:p>
        </w:tc>
        <w:tc>
          <w:tcPr>
            <w:tcW w:w="1276" w:type="dxa"/>
            <w:tcBorders>
              <w:top w:val="nil"/>
              <w:left w:val="nil"/>
              <w:bottom w:val="nil"/>
              <w:right w:val="nil"/>
            </w:tcBorders>
            <w:noWrap/>
          </w:tcPr>
          <w:p w14:paraId="01186A78" w14:textId="1B4DA50A"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val="en-US" w:eastAsia="pt-BR"/>
              </w:rPr>
              <w:t>36,8 (&lt;0,001)</w:t>
            </w:r>
          </w:p>
        </w:tc>
      </w:tr>
      <w:tr w:rsidR="00860D61" w:rsidRPr="00E86C13" w14:paraId="1B2BF8D4" w14:textId="77777777" w:rsidTr="00DA507A">
        <w:trPr>
          <w:trHeight w:val="315"/>
        </w:trPr>
        <w:tc>
          <w:tcPr>
            <w:tcW w:w="3329" w:type="dxa"/>
            <w:tcBorders>
              <w:top w:val="nil"/>
              <w:left w:val="nil"/>
              <w:bottom w:val="single" w:sz="4" w:space="0" w:color="auto"/>
              <w:right w:val="nil"/>
            </w:tcBorders>
            <w:noWrap/>
            <w:vAlign w:val="bottom"/>
          </w:tcPr>
          <w:p w14:paraId="7A09E351"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900</w:t>
            </w:r>
          </w:p>
        </w:tc>
        <w:tc>
          <w:tcPr>
            <w:tcW w:w="1470" w:type="dxa"/>
            <w:tcBorders>
              <w:top w:val="nil"/>
              <w:left w:val="nil"/>
              <w:bottom w:val="single" w:sz="4" w:space="0" w:color="auto"/>
              <w:right w:val="nil"/>
            </w:tcBorders>
            <w:noWrap/>
            <w:vAlign w:val="bottom"/>
          </w:tcPr>
          <w:p w14:paraId="686280D0" w14:textId="748AFB48" w:rsidR="00860D61" w:rsidRPr="00E86C13" w:rsidRDefault="005F786A"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0,24</w:t>
            </w:r>
            <w:r w:rsidR="00860D61"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w:t>
            </w:r>
            <w:r w:rsidR="00860D61" w:rsidRPr="00E86C13">
              <w:rPr>
                <w:rFonts w:ascii="Times New Roman" w:hAnsi="Times New Roman" w:cs="Times New Roman"/>
                <w:color w:val="000000"/>
                <w:sz w:val="20"/>
                <w:szCs w:val="20"/>
                <w:lang w:eastAsia="pt-BR"/>
              </w:rPr>
              <w:t>0,04)</w:t>
            </w:r>
          </w:p>
        </w:tc>
        <w:tc>
          <w:tcPr>
            <w:tcW w:w="1843" w:type="dxa"/>
            <w:tcBorders>
              <w:top w:val="nil"/>
              <w:left w:val="nil"/>
              <w:bottom w:val="single" w:sz="4" w:space="0" w:color="auto"/>
              <w:right w:val="nil"/>
            </w:tcBorders>
            <w:noWrap/>
            <w:vAlign w:val="bottom"/>
          </w:tcPr>
          <w:p w14:paraId="25F4A0D4" w14:textId="2E524A87" w:rsidR="00860D61" w:rsidRPr="00E86C13" w:rsidRDefault="00860D61" w:rsidP="005F786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0,22(</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color w:val="000000"/>
                <w:sz w:val="20"/>
                <w:szCs w:val="20"/>
                <w:lang w:eastAsia="pt-BR"/>
              </w:rPr>
              <w:t>0,03)</w:t>
            </w:r>
          </w:p>
        </w:tc>
        <w:tc>
          <w:tcPr>
            <w:tcW w:w="1506" w:type="dxa"/>
            <w:tcBorders>
              <w:top w:val="nil"/>
              <w:left w:val="nil"/>
              <w:bottom w:val="single" w:sz="4" w:space="0" w:color="auto"/>
              <w:right w:val="nil"/>
            </w:tcBorders>
            <w:noWrap/>
            <w:vAlign w:val="bottom"/>
          </w:tcPr>
          <w:p w14:paraId="34CAA2C2" w14:textId="77777777"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eastAsia="pt-BR"/>
              </w:rPr>
              <w:t>0,848 (0,421)</w:t>
            </w:r>
          </w:p>
        </w:tc>
        <w:tc>
          <w:tcPr>
            <w:tcW w:w="1276" w:type="dxa"/>
            <w:tcBorders>
              <w:top w:val="nil"/>
              <w:left w:val="nil"/>
              <w:bottom w:val="single" w:sz="4" w:space="0" w:color="auto"/>
              <w:right w:val="nil"/>
            </w:tcBorders>
            <w:noWrap/>
          </w:tcPr>
          <w:p w14:paraId="5CD2B9BA" w14:textId="0CC133FF" w:rsidR="00860D61" w:rsidRPr="00E86C13" w:rsidRDefault="00860D61" w:rsidP="00926E1A">
            <w:pPr>
              <w:spacing w:after="0" w:line="480" w:lineRule="auto"/>
              <w:jc w:val="center"/>
              <w:rPr>
                <w:rFonts w:ascii="Times New Roman" w:hAnsi="Times New Roman" w:cs="Times New Roman"/>
                <w:color w:val="000000"/>
                <w:sz w:val="20"/>
                <w:szCs w:val="20"/>
                <w:lang w:eastAsia="pt-BR"/>
              </w:rPr>
            </w:pPr>
            <w:r w:rsidRPr="00E86C13">
              <w:rPr>
                <w:rFonts w:ascii="Times New Roman" w:hAnsi="Times New Roman" w:cs="Times New Roman"/>
                <w:color w:val="000000"/>
                <w:sz w:val="20"/>
                <w:szCs w:val="20"/>
                <w:lang w:val="en-US" w:eastAsia="pt-BR"/>
              </w:rPr>
              <w:t>0,72 (0,421)</w:t>
            </w:r>
          </w:p>
        </w:tc>
      </w:tr>
    </w:tbl>
    <w:p w14:paraId="00F591D8" w14:textId="563CC538" w:rsidR="00946126" w:rsidRPr="004F57DA" w:rsidRDefault="00FE339C" w:rsidP="00E24F82">
      <w:pPr>
        <w:spacing w:after="240" w:line="480" w:lineRule="auto"/>
        <w:jc w:val="both"/>
        <w:rPr>
          <w:rFonts w:ascii="Times New Roman" w:hAnsi="Times New Roman" w:cs="Times New Roman"/>
          <w:sz w:val="20"/>
          <w:szCs w:val="20"/>
        </w:rPr>
      </w:pPr>
      <w:r>
        <w:rPr>
          <w:rFonts w:ascii="Times New Roman" w:hAnsi="Times New Roman" w:cs="Times New Roman"/>
          <w:sz w:val="20"/>
          <w:szCs w:val="20"/>
        </w:rPr>
        <w:t xml:space="preserve">Em que: </w:t>
      </w:r>
      <w:r w:rsidR="00860D61" w:rsidRPr="004F57DA">
        <w:rPr>
          <w:rFonts w:ascii="Times New Roman" w:hAnsi="Times New Roman" w:cs="Times New Roman"/>
          <w:sz w:val="20"/>
          <w:szCs w:val="20"/>
        </w:rPr>
        <w:t>T – Estatística T para o teste de Welch; F – Estatística F da ANOVA</w:t>
      </w:r>
    </w:p>
    <w:p w14:paraId="67E8C11E" w14:textId="71F2E71B" w:rsidR="00946126" w:rsidRPr="00457618" w:rsidRDefault="00946126" w:rsidP="00E24F82">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Para </w:t>
      </w:r>
      <w:r w:rsidRPr="00457618">
        <w:rPr>
          <w:rFonts w:ascii="Times New Roman" w:hAnsi="Times New Roman" w:cs="Times New Roman"/>
          <w:i/>
          <w:iCs/>
          <w:sz w:val="24"/>
          <w:szCs w:val="24"/>
        </w:rPr>
        <w:t xml:space="preserve">C. speciosa, </w:t>
      </w:r>
      <w:r w:rsidR="001A0254" w:rsidRPr="00457618">
        <w:rPr>
          <w:rFonts w:ascii="Times New Roman" w:hAnsi="Times New Roman" w:cs="Times New Roman"/>
          <w:sz w:val="24"/>
          <w:szCs w:val="24"/>
        </w:rPr>
        <w:t>foram observadas</w:t>
      </w:r>
      <w:r w:rsidRPr="00457618">
        <w:rPr>
          <w:rFonts w:ascii="Times New Roman" w:hAnsi="Times New Roman" w:cs="Times New Roman"/>
          <w:sz w:val="24"/>
          <w:szCs w:val="24"/>
        </w:rPr>
        <w:t xml:space="preserve"> diferenças significativas nas concentrações de 180, </w:t>
      </w:r>
      <w:r w:rsidR="00380475" w:rsidRPr="00457618">
        <w:rPr>
          <w:rFonts w:ascii="Times New Roman" w:hAnsi="Times New Roman" w:cs="Times New Roman"/>
          <w:sz w:val="24"/>
          <w:szCs w:val="24"/>
        </w:rPr>
        <w:t>3</w:t>
      </w:r>
      <w:r w:rsidR="00AB65E2" w:rsidRPr="00457618">
        <w:rPr>
          <w:rFonts w:ascii="Times New Roman" w:hAnsi="Times New Roman" w:cs="Times New Roman"/>
          <w:sz w:val="24"/>
          <w:szCs w:val="24"/>
        </w:rPr>
        <w:t xml:space="preserve">60, </w:t>
      </w:r>
      <w:r w:rsidRPr="00457618">
        <w:rPr>
          <w:rFonts w:ascii="Times New Roman" w:hAnsi="Times New Roman" w:cs="Times New Roman"/>
          <w:sz w:val="24"/>
          <w:szCs w:val="24"/>
        </w:rPr>
        <w:t>720 e 900 g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00CC38AC" w:rsidRPr="00457618">
        <w:rPr>
          <w:rFonts w:ascii="Times New Roman" w:hAnsi="Times New Roman" w:cs="Times New Roman"/>
          <w:sz w:val="24"/>
          <w:szCs w:val="24"/>
        </w:rPr>
        <w:t xml:space="preserve">/m³, </w:t>
      </w:r>
      <w:r w:rsidRPr="00457618">
        <w:rPr>
          <w:rFonts w:ascii="Times New Roman" w:hAnsi="Times New Roman" w:cs="Times New Roman"/>
          <w:sz w:val="24"/>
          <w:szCs w:val="24"/>
        </w:rPr>
        <w:t>como pode ser observado na Tabela 2.</w:t>
      </w:r>
      <w:r w:rsidR="00E169CC" w:rsidRPr="00457618">
        <w:rPr>
          <w:rFonts w:ascii="Times New Roman" w:hAnsi="Times New Roman" w:cs="Times New Roman"/>
          <w:sz w:val="24"/>
          <w:szCs w:val="24"/>
        </w:rPr>
        <w:t xml:space="preserve"> </w:t>
      </w:r>
      <w:r w:rsidRPr="00457618">
        <w:rPr>
          <w:rFonts w:ascii="Times New Roman" w:hAnsi="Times New Roman" w:cs="Times New Roman"/>
          <w:sz w:val="24"/>
          <w:szCs w:val="24"/>
        </w:rPr>
        <w:t>Para essas concentrações, o IQD foi maior quando as mudas foram produzidas nos tubetes de 120 cm³.</w:t>
      </w:r>
      <w:r w:rsidR="00E169CC" w:rsidRPr="00457618">
        <w:rPr>
          <w:rFonts w:ascii="Times New Roman" w:hAnsi="Times New Roman" w:cs="Times New Roman"/>
          <w:sz w:val="24"/>
          <w:szCs w:val="24"/>
        </w:rPr>
        <w:t xml:space="preserve"> </w:t>
      </w:r>
      <w:r w:rsidRPr="00457618">
        <w:rPr>
          <w:rFonts w:ascii="Times New Roman" w:hAnsi="Times New Roman" w:cs="Times New Roman"/>
          <w:sz w:val="24"/>
          <w:szCs w:val="24"/>
        </w:rPr>
        <w:t>O fato de a concentração com 180 g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Pr="00457618">
        <w:rPr>
          <w:rFonts w:ascii="Times New Roman" w:hAnsi="Times New Roman" w:cs="Times New Roman"/>
          <w:sz w:val="24"/>
          <w:szCs w:val="24"/>
        </w:rPr>
        <w:t>/m³</w:t>
      </w:r>
      <w:r w:rsidR="004F5EE4" w:rsidRPr="00457618">
        <w:rPr>
          <w:rFonts w:ascii="Times New Roman" w:hAnsi="Times New Roman" w:cs="Times New Roman"/>
          <w:sz w:val="24"/>
          <w:szCs w:val="24"/>
        </w:rPr>
        <w:t xml:space="preserve"> </w:t>
      </w:r>
      <w:r w:rsidRPr="00457618">
        <w:rPr>
          <w:rFonts w:ascii="Times New Roman" w:hAnsi="Times New Roman" w:cs="Times New Roman"/>
          <w:sz w:val="24"/>
          <w:szCs w:val="24"/>
        </w:rPr>
        <w:t>ter refletido em uma diferença significativa para a utilização dos diferentes tubetes demonstra que a adição da menor conc</w:t>
      </w:r>
      <w:r w:rsidR="00CC38AC" w:rsidRPr="00457618">
        <w:rPr>
          <w:rFonts w:ascii="Times New Roman" w:hAnsi="Times New Roman" w:cs="Times New Roman"/>
          <w:sz w:val="24"/>
          <w:szCs w:val="24"/>
        </w:rPr>
        <w:t>entração utilizada de adubo fosf</w:t>
      </w:r>
      <w:r w:rsidRPr="00457618">
        <w:rPr>
          <w:rFonts w:ascii="Times New Roman" w:hAnsi="Times New Roman" w:cs="Times New Roman"/>
          <w:sz w:val="24"/>
          <w:szCs w:val="24"/>
        </w:rPr>
        <w:t xml:space="preserve">atado foi suficiente para indicar o volume do recipiente </w:t>
      </w:r>
      <w:r w:rsidR="00226D20" w:rsidRPr="00457618">
        <w:rPr>
          <w:rFonts w:ascii="Times New Roman" w:hAnsi="Times New Roman" w:cs="Times New Roman"/>
          <w:sz w:val="24"/>
          <w:szCs w:val="24"/>
        </w:rPr>
        <w:t>ótimo de produção</w:t>
      </w:r>
      <w:r w:rsidRPr="00457618">
        <w:rPr>
          <w:rFonts w:ascii="Times New Roman" w:hAnsi="Times New Roman" w:cs="Times New Roman"/>
          <w:sz w:val="24"/>
          <w:szCs w:val="24"/>
        </w:rPr>
        <w:t>.</w:t>
      </w:r>
    </w:p>
    <w:p w14:paraId="674577D6" w14:textId="318441DD" w:rsidR="00946126" w:rsidRPr="004A0730" w:rsidRDefault="00124F7E" w:rsidP="002B4414">
      <w:pPr>
        <w:spacing w:after="0" w:line="480" w:lineRule="auto"/>
        <w:jc w:val="both"/>
        <w:rPr>
          <w:rFonts w:ascii="Times New Roman" w:hAnsi="Times New Roman" w:cs="Times New Roman"/>
          <w:sz w:val="24"/>
          <w:szCs w:val="24"/>
        </w:rPr>
      </w:pPr>
      <w:r w:rsidRPr="004A0730">
        <w:rPr>
          <w:rFonts w:ascii="Times New Roman" w:hAnsi="Times New Roman" w:cs="Times New Roman"/>
          <w:b/>
          <w:bCs/>
          <w:sz w:val="24"/>
          <w:szCs w:val="24"/>
        </w:rPr>
        <w:t>TABELA</w:t>
      </w:r>
      <w:r w:rsidR="00946126" w:rsidRPr="004A0730">
        <w:rPr>
          <w:rFonts w:ascii="Times New Roman" w:hAnsi="Times New Roman" w:cs="Times New Roman"/>
          <w:b/>
          <w:bCs/>
          <w:sz w:val="24"/>
          <w:szCs w:val="24"/>
        </w:rPr>
        <w:t xml:space="preserve"> 2</w:t>
      </w:r>
      <w:r w:rsidR="00FE339C" w:rsidRPr="004A0730">
        <w:rPr>
          <w:rFonts w:ascii="Times New Roman" w:hAnsi="Times New Roman" w:cs="Times New Roman"/>
          <w:b/>
          <w:sz w:val="24"/>
          <w:szCs w:val="24"/>
        </w:rPr>
        <w:t>.</w:t>
      </w:r>
      <w:r w:rsidR="00946126" w:rsidRPr="004A0730">
        <w:rPr>
          <w:rFonts w:ascii="Times New Roman" w:hAnsi="Times New Roman" w:cs="Times New Roman"/>
          <w:sz w:val="24"/>
          <w:szCs w:val="24"/>
        </w:rPr>
        <w:t xml:space="preserve"> Média e desvio-padrão de Índice de Qualidade de Dickson para os diferentes recipientes em cada concentração de P</w:t>
      </w:r>
      <w:r w:rsidR="00946126" w:rsidRPr="004A0730">
        <w:rPr>
          <w:rFonts w:ascii="Times New Roman" w:hAnsi="Times New Roman" w:cs="Times New Roman"/>
          <w:sz w:val="24"/>
          <w:szCs w:val="24"/>
          <w:vertAlign w:val="subscript"/>
        </w:rPr>
        <w:t>2</w:t>
      </w:r>
      <w:r w:rsidR="00946126" w:rsidRPr="004A0730">
        <w:rPr>
          <w:rFonts w:ascii="Times New Roman" w:hAnsi="Times New Roman" w:cs="Times New Roman"/>
          <w:sz w:val="24"/>
          <w:szCs w:val="24"/>
        </w:rPr>
        <w:t>O</w:t>
      </w:r>
      <w:r w:rsidR="00946126" w:rsidRPr="004A0730">
        <w:rPr>
          <w:rFonts w:ascii="Times New Roman" w:hAnsi="Times New Roman" w:cs="Times New Roman"/>
          <w:sz w:val="24"/>
          <w:szCs w:val="24"/>
          <w:vertAlign w:val="subscript"/>
        </w:rPr>
        <w:t>5</w:t>
      </w:r>
      <w:r w:rsidR="00946126" w:rsidRPr="004A0730">
        <w:rPr>
          <w:rFonts w:ascii="Times New Roman" w:hAnsi="Times New Roman" w:cs="Times New Roman"/>
          <w:sz w:val="24"/>
          <w:szCs w:val="24"/>
        </w:rPr>
        <w:t xml:space="preserve"> para </w:t>
      </w:r>
      <w:r w:rsidR="00946126" w:rsidRPr="004A0730">
        <w:rPr>
          <w:rFonts w:ascii="Times New Roman" w:hAnsi="Times New Roman" w:cs="Times New Roman"/>
          <w:i/>
          <w:iCs/>
          <w:sz w:val="24"/>
          <w:szCs w:val="24"/>
        </w:rPr>
        <w:t>Ceiba speciosa</w:t>
      </w:r>
      <w:r w:rsidR="00946126" w:rsidRPr="004A0730">
        <w:rPr>
          <w:rFonts w:ascii="Times New Roman" w:hAnsi="Times New Roman" w:cs="Times New Roman"/>
          <w:sz w:val="24"/>
          <w:szCs w:val="24"/>
        </w:rPr>
        <w:t xml:space="preserve"> (A. St.–Hil.) Ravenna.</w:t>
      </w:r>
    </w:p>
    <w:tbl>
      <w:tblPr>
        <w:tblW w:w="9282" w:type="dxa"/>
        <w:tblInd w:w="-68" w:type="dxa"/>
        <w:tblCellMar>
          <w:left w:w="70" w:type="dxa"/>
          <w:right w:w="70" w:type="dxa"/>
        </w:tblCellMar>
        <w:tblLook w:val="00A0" w:firstRow="1" w:lastRow="0" w:firstColumn="1" w:lastColumn="0" w:noHBand="0" w:noVBand="0"/>
      </w:tblPr>
      <w:tblGrid>
        <w:gridCol w:w="3329"/>
        <w:gridCol w:w="1470"/>
        <w:gridCol w:w="1418"/>
        <w:gridCol w:w="1843"/>
        <w:gridCol w:w="1222"/>
      </w:tblGrid>
      <w:tr w:rsidR="0027340D" w:rsidRPr="00E86C13" w14:paraId="3C739D99" w14:textId="77777777" w:rsidTr="00DA507A">
        <w:trPr>
          <w:trHeight w:val="315"/>
        </w:trPr>
        <w:tc>
          <w:tcPr>
            <w:tcW w:w="3329" w:type="dxa"/>
            <w:vMerge w:val="restart"/>
            <w:tcBorders>
              <w:top w:val="single" w:sz="4" w:space="0" w:color="auto"/>
              <w:left w:val="nil"/>
              <w:bottom w:val="single" w:sz="4" w:space="0" w:color="000000"/>
              <w:right w:val="nil"/>
            </w:tcBorders>
            <w:noWrap/>
            <w:vAlign w:val="center"/>
          </w:tcPr>
          <w:p w14:paraId="6F132D2C" w14:textId="77777777" w:rsidR="0027340D" w:rsidRPr="00E86C13" w:rsidRDefault="0027340D"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Concentração de P</w:t>
            </w:r>
            <w:r w:rsidRPr="00E86C13">
              <w:rPr>
                <w:rFonts w:ascii="Times New Roman" w:hAnsi="Times New Roman" w:cs="Times New Roman"/>
                <w:b/>
                <w:bCs/>
                <w:sz w:val="20"/>
                <w:szCs w:val="20"/>
                <w:vertAlign w:val="subscript"/>
                <w:lang w:eastAsia="pt-BR"/>
              </w:rPr>
              <w:t>2</w:t>
            </w:r>
            <w:r w:rsidRPr="00E86C13">
              <w:rPr>
                <w:rFonts w:ascii="Times New Roman" w:hAnsi="Times New Roman" w:cs="Times New Roman"/>
                <w:b/>
                <w:bCs/>
                <w:sz w:val="20"/>
                <w:szCs w:val="20"/>
                <w:lang w:eastAsia="pt-BR"/>
              </w:rPr>
              <w:t>O</w:t>
            </w:r>
            <w:r w:rsidRPr="00E86C13">
              <w:rPr>
                <w:rFonts w:ascii="Times New Roman" w:hAnsi="Times New Roman" w:cs="Times New Roman"/>
                <w:b/>
                <w:bCs/>
                <w:sz w:val="20"/>
                <w:szCs w:val="20"/>
                <w:vertAlign w:val="subscript"/>
                <w:lang w:eastAsia="pt-BR"/>
              </w:rPr>
              <w:t>5</w:t>
            </w:r>
            <w:r w:rsidRPr="00E86C13">
              <w:rPr>
                <w:rFonts w:ascii="Times New Roman" w:hAnsi="Times New Roman" w:cs="Times New Roman"/>
                <w:b/>
                <w:bCs/>
                <w:sz w:val="20"/>
                <w:szCs w:val="20"/>
                <w:lang w:eastAsia="pt-BR"/>
              </w:rPr>
              <w:t xml:space="preserve"> (g/m³)</w:t>
            </w:r>
          </w:p>
        </w:tc>
        <w:tc>
          <w:tcPr>
            <w:tcW w:w="2888" w:type="dxa"/>
            <w:gridSpan w:val="2"/>
            <w:tcBorders>
              <w:top w:val="single" w:sz="4" w:space="0" w:color="auto"/>
              <w:left w:val="nil"/>
              <w:bottom w:val="nil"/>
              <w:right w:val="nil"/>
            </w:tcBorders>
            <w:noWrap/>
            <w:vAlign w:val="bottom"/>
          </w:tcPr>
          <w:p w14:paraId="4DB8E86B" w14:textId="77777777" w:rsidR="0027340D" w:rsidRPr="00E86C13" w:rsidRDefault="0027340D"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Recipiente</w:t>
            </w:r>
          </w:p>
        </w:tc>
        <w:tc>
          <w:tcPr>
            <w:tcW w:w="1843" w:type="dxa"/>
            <w:vMerge w:val="restart"/>
            <w:tcBorders>
              <w:top w:val="single" w:sz="4" w:space="0" w:color="auto"/>
              <w:left w:val="nil"/>
              <w:right w:val="nil"/>
            </w:tcBorders>
            <w:noWrap/>
            <w:vAlign w:val="center"/>
          </w:tcPr>
          <w:p w14:paraId="49B93F64" w14:textId="77777777" w:rsidR="0027340D" w:rsidRPr="00E86C13" w:rsidRDefault="0027340D"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T (p-valor)</w:t>
            </w:r>
          </w:p>
        </w:tc>
        <w:tc>
          <w:tcPr>
            <w:tcW w:w="1222" w:type="dxa"/>
            <w:vMerge w:val="restart"/>
            <w:tcBorders>
              <w:top w:val="single" w:sz="4" w:space="0" w:color="auto"/>
              <w:left w:val="nil"/>
              <w:right w:val="nil"/>
            </w:tcBorders>
            <w:noWrap/>
            <w:vAlign w:val="center"/>
          </w:tcPr>
          <w:p w14:paraId="62C1B618" w14:textId="524036AB" w:rsidR="0027340D" w:rsidRPr="00E86C13" w:rsidRDefault="0027340D"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F (p-valor)</w:t>
            </w:r>
          </w:p>
        </w:tc>
      </w:tr>
      <w:tr w:rsidR="0027340D" w:rsidRPr="00E86C13" w14:paraId="2EF5F116" w14:textId="77777777" w:rsidTr="00DA507A">
        <w:trPr>
          <w:trHeight w:val="315"/>
        </w:trPr>
        <w:tc>
          <w:tcPr>
            <w:tcW w:w="3329" w:type="dxa"/>
            <w:vMerge/>
            <w:tcBorders>
              <w:top w:val="single" w:sz="4" w:space="0" w:color="auto"/>
              <w:left w:val="nil"/>
              <w:bottom w:val="single" w:sz="4" w:space="0" w:color="000000"/>
              <w:right w:val="nil"/>
            </w:tcBorders>
            <w:vAlign w:val="center"/>
          </w:tcPr>
          <w:p w14:paraId="3A71B91E" w14:textId="77777777" w:rsidR="0027340D" w:rsidRPr="00E86C13" w:rsidRDefault="0027340D" w:rsidP="00926E1A">
            <w:pPr>
              <w:spacing w:after="0" w:line="480" w:lineRule="auto"/>
              <w:rPr>
                <w:rFonts w:ascii="Times New Roman" w:hAnsi="Times New Roman" w:cs="Times New Roman"/>
                <w:b/>
                <w:bCs/>
                <w:sz w:val="20"/>
                <w:szCs w:val="20"/>
                <w:lang w:eastAsia="pt-BR"/>
              </w:rPr>
            </w:pPr>
          </w:p>
        </w:tc>
        <w:tc>
          <w:tcPr>
            <w:tcW w:w="1470" w:type="dxa"/>
            <w:tcBorders>
              <w:top w:val="single" w:sz="4" w:space="0" w:color="auto"/>
              <w:left w:val="nil"/>
              <w:bottom w:val="single" w:sz="4" w:space="0" w:color="auto"/>
              <w:right w:val="nil"/>
            </w:tcBorders>
            <w:noWrap/>
            <w:vAlign w:val="bottom"/>
          </w:tcPr>
          <w:p w14:paraId="37D79921" w14:textId="77777777" w:rsidR="0027340D" w:rsidRPr="00E86C13" w:rsidRDefault="0027340D" w:rsidP="00926E1A">
            <w:pPr>
              <w:spacing w:after="0" w:line="480" w:lineRule="auto"/>
              <w:ind w:right="-405"/>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120 cm³</w:t>
            </w:r>
          </w:p>
        </w:tc>
        <w:tc>
          <w:tcPr>
            <w:tcW w:w="1418" w:type="dxa"/>
            <w:tcBorders>
              <w:top w:val="single" w:sz="4" w:space="0" w:color="auto"/>
              <w:left w:val="nil"/>
              <w:bottom w:val="single" w:sz="4" w:space="0" w:color="auto"/>
              <w:right w:val="nil"/>
            </w:tcBorders>
            <w:noWrap/>
            <w:vAlign w:val="bottom"/>
          </w:tcPr>
          <w:p w14:paraId="651A49AC" w14:textId="77777777" w:rsidR="0027340D" w:rsidRPr="00E86C13" w:rsidRDefault="0027340D"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56 cm³</w:t>
            </w:r>
          </w:p>
        </w:tc>
        <w:tc>
          <w:tcPr>
            <w:tcW w:w="1843" w:type="dxa"/>
            <w:vMerge/>
            <w:tcBorders>
              <w:left w:val="nil"/>
              <w:bottom w:val="single" w:sz="4" w:space="0" w:color="000000"/>
              <w:right w:val="nil"/>
            </w:tcBorders>
            <w:vAlign w:val="center"/>
          </w:tcPr>
          <w:p w14:paraId="3C893EA6" w14:textId="77777777" w:rsidR="0027340D" w:rsidRPr="00E86C13" w:rsidRDefault="0027340D" w:rsidP="00926E1A">
            <w:pPr>
              <w:spacing w:after="0" w:line="480" w:lineRule="auto"/>
              <w:rPr>
                <w:rFonts w:ascii="Times New Roman" w:hAnsi="Times New Roman" w:cs="Times New Roman"/>
                <w:b/>
                <w:bCs/>
                <w:sz w:val="20"/>
                <w:szCs w:val="20"/>
                <w:lang w:eastAsia="pt-BR"/>
              </w:rPr>
            </w:pPr>
          </w:p>
        </w:tc>
        <w:tc>
          <w:tcPr>
            <w:tcW w:w="1222" w:type="dxa"/>
            <w:vMerge/>
            <w:tcBorders>
              <w:left w:val="nil"/>
              <w:bottom w:val="single" w:sz="4" w:space="0" w:color="000000"/>
              <w:right w:val="nil"/>
            </w:tcBorders>
            <w:vAlign w:val="center"/>
          </w:tcPr>
          <w:p w14:paraId="7835471C" w14:textId="77777777" w:rsidR="0027340D" w:rsidRPr="00E86C13" w:rsidRDefault="0027340D" w:rsidP="00926E1A">
            <w:pPr>
              <w:spacing w:after="0" w:line="480" w:lineRule="auto"/>
              <w:rPr>
                <w:rFonts w:ascii="Times New Roman" w:hAnsi="Times New Roman" w:cs="Times New Roman"/>
                <w:b/>
                <w:bCs/>
                <w:sz w:val="20"/>
                <w:szCs w:val="20"/>
                <w:lang w:eastAsia="pt-BR"/>
              </w:rPr>
            </w:pPr>
          </w:p>
        </w:tc>
      </w:tr>
      <w:tr w:rsidR="00AB65E2" w:rsidRPr="00E86C13" w14:paraId="31B1F032" w14:textId="77777777" w:rsidTr="00DA507A">
        <w:trPr>
          <w:trHeight w:val="315"/>
        </w:trPr>
        <w:tc>
          <w:tcPr>
            <w:tcW w:w="3329" w:type="dxa"/>
            <w:tcBorders>
              <w:top w:val="nil"/>
              <w:left w:val="nil"/>
              <w:bottom w:val="nil"/>
              <w:right w:val="nil"/>
            </w:tcBorders>
            <w:noWrap/>
            <w:vAlign w:val="bottom"/>
          </w:tcPr>
          <w:p w14:paraId="2C2EB2D5"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180</w:t>
            </w:r>
          </w:p>
        </w:tc>
        <w:tc>
          <w:tcPr>
            <w:tcW w:w="1470" w:type="dxa"/>
            <w:tcBorders>
              <w:top w:val="nil"/>
              <w:left w:val="nil"/>
              <w:bottom w:val="nil"/>
              <w:right w:val="nil"/>
            </w:tcBorders>
            <w:noWrap/>
            <w:vAlign w:val="bottom"/>
          </w:tcPr>
          <w:p w14:paraId="168F670E" w14:textId="23B9A479" w:rsidR="00AB65E2" w:rsidRPr="00E86C13" w:rsidRDefault="00EA4460" w:rsidP="005F786A">
            <w:pPr>
              <w:spacing w:after="0" w:line="480" w:lineRule="auto"/>
              <w:ind w:right="-263"/>
              <w:rPr>
                <w:rFonts w:ascii="Times New Roman" w:hAnsi="Times New Roman" w:cs="Times New Roman"/>
                <w:sz w:val="20"/>
                <w:szCs w:val="20"/>
                <w:lang w:eastAsia="pt-BR"/>
              </w:rPr>
            </w:pPr>
            <w:r w:rsidRPr="00E86C13">
              <w:rPr>
                <w:rFonts w:ascii="Times New Roman" w:hAnsi="Times New Roman" w:cs="Times New Roman"/>
                <w:color w:val="000000"/>
                <w:sz w:val="20"/>
                <w:szCs w:val="20"/>
                <w:lang w:eastAsia="pt-BR"/>
              </w:rPr>
              <w:t xml:space="preserve"> </w:t>
            </w:r>
            <w:r w:rsidR="005F786A" w:rsidRPr="00E86C13">
              <w:rPr>
                <w:rFonts w:ascii="Times New Roman" w:hAnsi="Times New Roman" w:cs="Times New Roman"/>
                <w:color w:val="000000"/>
                <w:sz w:val="20"/>
                <w:szCs w:val="20"/>
                <w:lang w:eastAsia="pt-BR"/>
              </w:rPr>
              <w:t xml:space="preserve">   </w:t>
            </w:r>
            <w:r w:rsidRPr="00E86C13">
              <w:rPr>
                <w:rFonts w:ascii="Times New Roman" w:hAnsi="Times New Roman" w:cs="Times New Roman"/>
                <w:sz w:val="20"/>
                <w:szCs w:val="20"/>
                <w:lang w:eastAsia="pt-BR"/>
              </w:rPr>
              <w:t>0,31</w:t>
            </w:r>
            <w:r w:rsidR="00AB65E2" w:rsidRPr="00E86C13">
              <w:rPr>
                <w:rFonts w:ascii="Times New Roman" w:hAnsi="Times New Roman" w:cs="Times New Roman"/>
                <w:sz w:val="20"/>
                <w:szCs w:val="20"/>
                <w:lang w:eastAsia="pt-BR"/>
              </w:rPr>
              <w:t>(</w:t>
            </w:r>
            <w:r w:rsidR="005F786A"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0,14)</w:t>
            </w:r>
          </w:p>
        </w:tc>
        <w:tc>
          <w:tcPr>
            <w:tcW w:w="1418" w:type="dxa"/>
            <w:tcBorders>
              <w:top w:val="nil"/>
              <w:left w:val="nil"/>
              <w:bottom w:val="nil"/>
              <w:right w:val="nil"/>
            </w:tcBorders>
            <w:noWrap/>
            <w:vAlign w:val="bottom"/>
          </w:tcPr>
          <w:p w14:paraId="1671371D" w14:textId="2599418B"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0,12</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0,04)</w:t>
            </w:r>
          </w:p>
        </w:tc>
        <w:tc>
          <w:tcPr>
            <w:tcW w:w="1843" w:type="dxa"/>
            <w:tcBorders>
              <w:top w:val="nil"/>
              <w:left w:val="nil"/>
              <w:bottom w:val="nil"/>
              <w:right w:val="nil"/>
            </w:tcBorders>
            <w:noWrap/>
            <w:vAlign w:val="bottom"/>
          </w:tcPr>
          <w:p w14:paraId="105C21C3"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2,890 (0,020)</w:t>
            </w:r>
          </w:p>
        </w:tc>
        <w:tc>
          <w:tcPr>
            <w:tcW w:w="1222" w:type="dxa"/>
            <w:tcBorders>
              <w:top w:val="nil"/>
              <w:left w:val="nil"/>
              <w:bottom w:val="nil"/>
              <w:right w:val="nil"/>
            </w:tcBorders>
            <w:noWrap/>
          </w:tcPr>
          <w:p w14:paraId="39880198" w14:textId="1F9AC49F"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8,35 (0,020)</w:t>
            </w:r>
          </w:p>
        </w:tc>
      </w:tr>
      <w:tr w:rsidR="00AB65E2" w:rsidRPr="00E86C13" w14:paraId="246D2B23" w14:textId="77777777" w:rsidTr="00DA507A">
        <w:trPr>
          <w:trHeight w:val="315"/>
        </w:trPr>
        <w:tc>
          <w:tcPr>
            <w:tcW w:w="3329" w:type="dxa"/>
            <w:tcBorders>
              <w:top w:val="nil"/>
              <w:left w:val="nil"/>
              <w:bottom w:val="nil"/>
              <w:right w:val="nil"/>
            </w:tcBorders>
            <w:noWrap/>
            <w:vAlign w:val="bottom"/>
          </w:tcPr>
          <w:p w14:paraId="12588F0D"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360</w:t>
            </w:r>
          </w:p>
        </w:tc>
        <w:tc>
          <w:tcPr>
            <w:tcW w:w="1470" w:type="dxa"/>
            <w:tcBorders>
              <w:top w:val="nil"/>
              <w:left w:val="nil"/>
              <w:bottom w:val="nil"/>
              <w:right w:val="nil"/>
            </w:tcBorders>
            <w:noWrap/>
            <w:vAlign w:val="bottom"/>
          </w:tcPr>
          <w:p w14:paraId="6A7493E0" w14:textId="0F5C1353"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0,22</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0,06)</w:t>
            </w:r>
          </w:p>
        </w:tc>
        <w:tc>
          <w:tcPr>
            <w:tcW w:w="1418" w:type="dxa"/>
            <w:tcBorders>
              <w:top w:val="nil"/>
              <w:left w:val="nil"/>
              <w:bottom w:val="nil"/>
              <w:right w:val="nil"/>
            </w:tcBorders>
            <w:noWrap/>
            <w:vAlign w:val="bottom"/>
          </w:tcPr>
          <w:p w14:paraId="1559F462" w14:textId="631FE6F2"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0,13</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0,02)</w:t>
            </w:r>
          </w:p>
        </w:tc>
        <w:tc>
          <w:tcPr>
            <w:tcW w:w="1843" w:type="dxa"/>
            <w:tcBorders>
              <w:top w:val="nil"/>
              <w:left w:val="nil"/>
              <w:bottom w:val="nil"/>
              <w:right w:val="nil"/>
            </w:tcBorders>
            <w:noWrap/>
            <w:vAlign w:val="bottom"/>
          </w:tcPr>
          <w:p w14:paraId="37011EAE"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3,170 (0,013)</w:t>
            </w:r>
          </w:p>
        </w:tc>
        <w:tc>
          <w:tcPr>
            <w:tcW w:w="1222" w:type="dxa"/>
            <w:tcBorders>
              <w:top w:val="nil"/>
              <w:left w:val="nil"/>
              <w:bottom w:val="nil"/>
              <w:right w:val="nil"/>
            </w:tcBorders>
            <w:noWrap/>
          </w:tcPr>
          <w:p w14:paraId="4102D333" w14:textId="1CDDA819"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10 (0,013)</w:t>
            </w:r>
          </w:p>
        </w:tc>
      </w:tr>
      <w:tr w:rsidR="00AB65E2" w:rsidRPr="00E86C13" w14:paraId="3FEBDA65" w14:textId="77777777" w:rsidTr="00DA507A">
        <w:trPr>
          <w:trHeight w:val="315"/>
        </w:trPr>
        <w:tc>
          <w:tcPr>
            <w:tcW w:w="3329" w:type="dxa"/>
            <w:tcBorders>
              <w:top w:val="nil"/>
              <w:left w:val="nil"/>
              <w:bottom w:val="nil"/>
              <w:right w:val="nil"/>
            </w:tcBorders>
            <w:noWrap/>
            <w:vAlign w:val="bottom"/>
          </w:tcPr>
          <w:p w14:paraId="0B1CAEDE"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540</w:t>
            </w:r>
          </w:p>
        </w:tc>
        <w:tc>
          <w:tcPr>
            <w:tcW w:w="1470" w:type="dxa"/>
            <w:tcBorders>
              <w:top w:val="nil"/>
              <w:left w:val="nil"/>
              <w:bottom w:val="nil"/>
              <w:right w:val="nil"/>
            </w:tcBorders>
            <w:noWrap/>
            <w:vAlign w:val="bottom"/>
          </w:tcPr>
          <w:p w14:paraId="666D2342" w14:textId="7937F4E4" w:rsidR="00AB65E2" w:rsidRPr="00E86C13" w:rsidRDefault="00AB65E2" w:rsidP="005F786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0,16(</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0,07)</w:t>
            </w:r>
          </w:p>
        </w:tc>
        <w:tc>
          <w:tcPr>
            <w:tcW w:w="1418" w:type="dxa"/>
            <w:tcBorders>
              <w:top w:val="nil"/>
              <w:left w:val="nil"/>
              <w:bottom w:val="nil"/>
              <w:right w:val="nil"/>
            </w:tcBorders>
            <w:noWrap/>
            <w:vAlign w:val="bottom"/>
          </w:tcPr>
          <w:p w14:paraId="03EE860E" w14:textId="78A9F8C1"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0,12</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0,03)</w:t>
            </w:r>
          </w:p>
        </w:tc>
        <w:tc>
          <w:tcPr>
            <w:tcW w:w="1843" w:type="dxa"/>
            <w:tcBorders>
              <w:top w:val="nil"/>
              <w:left w:val="nil"/>
              <w:bottom w:val="nil"/>
              <w:right w:val="nil"/>
            </w:tcBorders>
            <w:noWrap/>
            <w:vAlign w:val="bottom"/>
          </w:tcPr>
          <w:p w14:paraId="709969DA"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1,085 (0,326)</w:t>
            </w:r>
          </w:p>
        </w:tc>
        <w:tc>
          <w:tcPr>
            <w:tcW w:w="1222" w:type="dxa"/>
            <w:tcBorders>
              <w:top w:val="nil"/>
              <w:left w:val="nil"/>
              <w:bottom w:val="nil"/>
              <w:right w:val="nil"/>
            </w:tcBorders>
            <w:noWrap/>
          </w:tcPr>
          <w:p w14:paraId="487EB4D3" w14:textId="1E681061"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1,17 (0,310)</w:t>
            </w:r>
          </w:p>
        </w:tc>
      </w:tr>
      <w:tr w:rsidR="00AB65E2" w:rsidRPr="00E86C13" w14:paraId="0C32EC3B" w14:textId="77777777" w:rsidTr="00DA507A">
        <w:trPr>
          <w:trHeight w:val="315"/>
        </w:trPr>
        <w:tc>
          <w:tcPr>
            <w:tcW w:w="3329" w:type="dxa"/>
            <w:tcBorders>
              <w:top w:val="nil"/>
              <w:left w:val="nil"/>
              <w:bottom w:val="nil"/>
              <w:right w:val="nil"/>
            </w:tcBorders>
            <w:noWrap/>
            <w:vAlign w:val="bottom"/>
          </w:tcPr>
          <w:p w14:paraId="56262311"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720</w:t>
            </w:r>
          </w:p>
        </w:tc>
        <w:tc>
          <w:tcPr>
            <w:tcW w:w="1470" w:type="dxa"/>
            <w:tcBorders>
              <w:top w:val="nil"/>
              <w:left w:val="nil"/>
              <w:bottom w:val="nil"/>
              <w:right w:val="nil"/>
            </w:tcBorders>
            <w:noWrap/>
            <w:vAlign w:val="bottom"/>
          </w:tcPr>
          <w:p w14:paraId="101C1CDE" w14:textId="266711CA"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0,32</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0,04)</w:t>
            </w:r>
          </w:p>
        </w:tc>
        <w:tc>
          <w:tcPr>
            <w:tcW w:w="1418" w:type="dxa"/>
            <w:tcBorders>
              <w:top w:val="nil"/>
              <w:left w:val="nil"/>
              <w:bottom w:val="nil"/>
              <w:right w:val="nil"/>
            </w:tcBorders>
            <w:noWrap/>
            <w:vAlign w:val="bottom"/>
          </w:tcPr>
          <w:p w14:paraId="218C3463" w14:textId="5329712D" w:rsidR="00AB65E2" w:rsidRPr="00E86C13" w:rsidRDefault="005F786A"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0,08</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0,01)</w:t>
            </w:r>
          </w:p>
        </w:tc>
        <w:tc>
          <w:tcPr>
            <w:tcW w:w="1843" w:type="dxa"/>
            <w:tcBorders>
              <w:top w:val="nil"/>
              <w:left w:val="nil"/>
              <w:bottom w:val="nil"/>
              <w:right w:val="nil"/>
            </w:tcBorders>
            <w:noWrap/>
            <w:vAlign w:val="bottom"/>
          </w:tcPr>
          <w:p w14:paraId="1AC2753C"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14,171 (&lt;0,001)</w:t>
            </w:r>
          </w:p>
        </w:tc>
        <w:tc>
          <w:tcPr>
            <w:tcW w:w="1222" w:type="dxa"/>
            <w:tcBorders>
              <w:top w:val="nil"/>
              <w:left w:val="nil"/>
              <w:bottom w:val="nil"/>
              <w:right w:val="nil"/>
            </w:tcBorders>
            <w:noWrap/>
          </w:tcPr>
          <w:p w14:paraId="31184C46" w14:textId="5FB44D31"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200 (&lt;0,001)</w:t>
            </w:r>
          </w:p>
        </w:tc>
      </w:tr>
      <w:tr w:rsidR="00AB65E2" w:rsidRPr="00E86C13" w14:paraId="6FAF4B76" w14:textId="77777777" w:rsidTr="00DA507A">
        <w:trPr>
          <w:trHeight w:val="315"/>
        </w:trPr>
        <w:tc>
          <w:tcPr>
            <w:tcW w:w="3329" w:type="dxa"/>
            <w:tcBorders>
              <w:top w:val="nil"/>
              <w:left w:val="nil"/>
              <w:bottom w:val="single" w:sz="4" w:space="0" w:color="auto"/>
              <w:right w:val="nil"/>
            </w:tcBorders>
            <w:noWrap/>
            <w:vAlign w:val="bottom"/>
          </w:tcPr>
          <w:p w14:paraId="189D3BE6"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900</w:t>
            </w:r>
          </w:p>
        </w:tc>
        <w:tc>
          <w:tcPr>
            <w:tcW w:w="1470" w:type="dxa"/>
            <w:tcBorders>
              <w:top w:val="nil"/>
              <w:left w:val="nil"/>
              <w:bottom w:val="single" w:sz="4" w:space="0" w:color="auto"/>
              <w:right w:val="nil"/>
            </w:tcBorders>
            <w:noWrap/>
            <w:vAlign w:val="bottom"/>
          </w:tcPr>
          <w:p w14:paraId="630F9D53" w14:textId="6B564BF2" w:rsidR="00AB65E2" w:rsidRPr="00E86C13" w:rsidRDefault="00AB65E2" w:rsidP="005F786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0,27(</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0,08)</w:t>
            </w:r>
          </w:p>
        </w:tc>
        <w:tc>
          <w:tcPr>
            <w:tcW w:w="1418" w:type="dxa"/>
            <w:tcBorders>
              <w:top w:val="nil"/>
              <w:left w:val="nil"/>
              <w:bottom w:val="single" w:sz="4" w:space="0" w:color="auto"/>
              <w:right w:val="nil"/>
            </w:tcBorders>
            <w:noWrap/>
            <w:vAlign w:val="bottom"/>
          </w:tcPr>
          <w:p w14:paraId="691370E3" w14:textId="56CCC6F3" w:rsidR="00AB65E2" w:rsidRPr="00E86C13" w:rsidRDefault="00AB65E2" w:rsidP="005F786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0,08(</w:t>
            </w:r>
            <w:r w:rsidR="005F786A"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0,02)</w:t>
            </w:r>
          </w:p>
        </w:tc>
        <w:tc>
          <w:tcPr>
            <w:tcW w:w="1843" w:type="dxa"/>
            <w:tcBorders>
              <w:top w:val="nil"/>
              <w:left w:val="nil"/>
              <w:bottom w:val="single" w:sz="4" w:space="0" w:color="auto"/>
              <w:right w:val="nil"/>
            </w:tcBorders>
            <w:noWrap/>
            <w:vAlign w:val="bottom"/>
          </w:tcPr>
          <w:p w14:paraId="29DE9859"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5,449 (0,004)</w:t>
            </w:r>
          </w:p>
        </w:tc>
        <w:tc>
          <w:tcPr>
            <w:tcW w:w="1222" w:type="dxa"/>
            <w:tcBorders>
              <w:top w:val="nil"/>
              <w:left w:val="nil"/>
              <w:bottom w:val="single" w:sz="4" w:space="0" w:color="auto"/>
              <w:right w:val="nil"/>
            </w:tcBorders>
            <w:noWrap/>
          </w:tcPr>
          <w:p w14:paraId="5B8746AD" w14:textId="7F196C95"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29,7 (0,001)</w:t>
            </w:r>
          </w:p>
        </w:tc>
      </w:tr>
    </w:tbl>
    <w:p w14:paraId="32EEEE4C" w14:textId="302C2694" w:rsidR="00946126" w:rsidRPr="004F57DA" w:rsidRDefault="00FE339C" w:rsidP="00E24F82">
      <w:pPr>
        <w:spacing w:after="240" w:line="480" w:lineRule="auto"/>
        <w:jc w:val="both"/>
        <w:rPr>
          <w:rFonts w:ascii="Times New Roman" w:hAnsi="Times New Roman" w:cs="Times New Roman"/>
          <w:sz w:val="20"/>
          <w:szCs w:val="20"/>
        </w:rPr>
      </w:pPr>
      <w:r>
        <w:rPr>
          <w:rFonts w:ascii="Times New Roman" w:hAnsi="Times New Roman" w:cs="Times New Roman"/>
          <w:sz w:val="20"/>
          <w:szCs w:val="20"/>
        </w:rPr>
        <w:t xml:space="preserve">Em que: </w:t>
      </w:r>
      <w:r w:rsidR="00AB65E2" w:rsidRPr="004F57DA">
        <w:rPr>
          <w:rFonts w:ascii="Times New Roman" w:hAnsi="Times New Roman" w:cs="Times New Roman"/>
          <w:sz w:val="20"/>
          <w:szCs w:val="20"/>
        </w:rPr>
        <w:t>T – Estatística T para o teste de Welch; F – Estatística F da ANOVA</w:t>
      </w:r>
    </w:p>
    <w:p w14:paraId="7D77C06B" w14:textId="2B1B4104" w:rsidR="00946126" w:rsidRPr="00457618" w:rsidRDefault="00946126" w:rsidP="00E24F82">
      <w:pPr>
        <w:spacing w:after="240" w:line="480" w:lineRule="auto"/>
        <w:jc w:val="both"/>
        <w:rPr>
          <w:rFonts w:ascii="Times New Roman" w:hAnsi="Times New Roman" w:cs="Times New Roman"/>
          <w:sz w:val="24"/>
          <w:szCs w:val="24"/>
        </w:rPr>
      </w:pPr>
      <w:r w:rsidRPr="00457618">
        <w:rPr>
          <w:rFonts w:ascii="Times New Roman" w:hAnsi="Times New Roman" w:cs="Times New Roman"/>
          <w:sz w:val="24"/>
          <w:szCs w:val="24"/>
        </w:rPr>
        <w:tab/>
      </w:r>
      <w:r w:rsidR="00AB65E2" w:rsidRPr="00457618">
        <w:rPr>
          <w:rFonts w:ascii="Times New Roman" w:hAnsi="Times New Roman" w:cs="Times New Roman"/>
          <w:sz w:val="24"/>
          <w:szCs w:val="24"/>
        </w:rPr>
        <w:t xml:space="preserve">Com relação à </w:t>
      </w:r>
      <w:r w:rsidR="00AB65E2" w:rsidRPr="00457618">
        <w:rPr>
          <w:rFonts w:ascii="Times New Roman" w:hAnsi="Times New Roman" w:cs="Times New Roman"/>
          <w:i/>
          <w:iCs/>
          <w:sz w:val="24"/>
          <w:szCs w:val="24"/>
        </w:rPr>
        <w:t>G. ulmifolia</w:t>
      </w:r>
      <w:r w:rsidR="00AB65E2" w:rsidRPr="00457618">
        <w:rPr>
          <w:rFonts w:ascii="Times New Roman" w:hAnsi="Times New Roman" w:cs="Times New Roman"/>
          <w:sz w:val="24"/>
          <w:szCs w:val="24"/>
        </w:rPr>
        <w:t>, apenas a concentração de 360 g de P</w:t>
      </w:r>
      <w:r w:rsidR="00AB65E2" w:rsidRPr="00457618">
        <w:rPr>
          <w:rFonts w:ascii="Times New Roman" w:hAnsi="Times New Roman" w:cs="Times New Roman"/>
          <w:sz w:val="24"/>
          <w:szCs w:val="24"/>
          <w:vertAlign w:val="subscript"/>
        </w:rPr>
        <w:t>2</w:t>
      </w:r>
      <w:r w:rsidR="00AB65E2" w:rsidRPr="00457618">
        <w:rPr>
          <w:rFonts w:ascii="Times New Roman" w:hAnsi="Times New Roman" w:cs="Times New Roman"/>
          <w:sz w:val="24"/>
          <w:szCs w:val="24"/>
        </w:rPr>
        <w:t>O</w:t>
      </w:r>
      <w:r w:rsidR="00AB65E2" w:rsidRPr="00457618">
        <w:rPr>
          <w:rFonts w:ascii="Times New Roman" w:hAnsi="Times New Roman" w:cs="Times New Roman"/>
          <w:sz w:val="24"/>
          <w:szCs w:val="24"/>
          <w:vertAlign w:val="subscript"/>
        </w:rPr>
        <w:t>5</w:t>
      </w:r>
      <w:r w:rsidR="00EA0941" w:rsidRPr="00457618">
        <w:rPr>
          <w:rFonts w:ascii="Times New Roman" w:hAnsi="Times New Roman" w:cs="Times New Roman"/>
          <w:sz w:val="24"/>
          <w:szCs w:val="24"/>
        </w:rPr>
        <w:t>/m³ apresentou</w:t>
      </w:r>
      <w:r w:rsidR="002B165D" w:rsidRPr="00457618">
        <w:rPr>
          <w:rFonts w:ascii="Times New Roman" w:hAnsi="Times New Roman" w:cs="Times New Roman"/>
          <w:sz w:val="24"/>
          <w:szCs w:val="24"/>
        </w:rPr>
        <w:t xml:space="preserve"> diferença significativa, ao considerar os testes aplicados. Nesta concentraç</w:t>
      </w:r>
      <w:r w:rsidR="001F7F74" w:rsidRPr="00457618">
        <w:rPr>
          <w:rFonts w:ascii="Times New Roman" w:hAnsi="Times New Roman" w:cs="Times New Roman"/>
          <w:sz w:val="24"/>
          <w:szCs w:val="24"/>
        </w:rPr>
        <w:t>ão foi observada</w:t>
      </w:r>
      <w:r w:rsidR="002B165D" w:rsidRPr="00457618">
        <w:rPr>
          <w:rFonts w:ascii="Times New Roman" w:hAnsi="Times New Roman" w:cs="Times New Roman"/>
          <w:sz w:val="24"/>
          <w:szCs w:val="24"/>
        </w:rPr>
        <w:t xml:space="preserve"> a maior média de IQD (0,36), indicando</w:t>
      </w:r>
      <w:r w:rsidR="00AB65E2" w:rsidRPr="00457618">
        <w:rPr>
          <w:rFonts w:ascii="Times New Roman" w:hAnsi="Times New Roman" w:cs="Times New Roman"/>
          <w:sz w:val="24"/>
          <w:szCs w:val="24"/>
        </w:rPr>
        <w:t xml:space="preserve"> o </w:t>
      </w:r>
      <w:r w:rsidR="002B165D" w:rsidRPr="00457618">
        <w:rPr>
          <w:rFonts w:ascii="Times New Roman" w:hAnsi="Times New Roman" w:cs="Times New Roman"/>
          <w:sz w:val="24"/>
          <w:szCs w:val="24"/>
        </w:rPr>
        <w:t xml:space="preserve">tubete de 120 cm³ como o </w:t>
      </w:r>
      <w:r w:rsidR="00AB65E2" w:rsidRPr="00457618">
        <w:rPr>
          <w:rFonts w:ascii="Times New Roman" w:hAnsi="Times New Roman" w:cs="Times New Roman"/>
          <w:sz w:val="24"/>
          <w:szCs w:val="24"/>
        </w:rPr>
        <w:t>reci</w:t>
      </w:r>
      <w:r w:rsidR="00EA0941" w:rsidRPr="00457618">
        <w:rPr>
          <w:rFonts w:ascii="Times New Roman" w:hAnsi="Times New Roman" w:cs="Times New Roman"/>
          <w:sz w:val="24"/>
          <w:szCs w:val="24"/>
        </w:rPr>
        <w:t>piente ótimo de produção</w:t>
      </w:r>
      <w:r w:rsidR="002B165D" w:rsidRPr="00457618">
        <w:rPr>
          <w:rFonts w:ascii="Times New Roman" w:hAnsi="Times New Roman" w:cs="Times New Roman"/>
          <w:sz w:val="24"/>
          <w:szCs w:val="24"/>
        </w:rPr>
        <w:t xml:space="preserve"> para es</w:t>
      </w:r>
      <w:r w:rsidR="00E90477" w:rsidRPr="00457618">
        <w:rPr>
          <w:rFonts w:ascii="Times New Roman" w:hAnsi="Times New Roman" w:cs="Times New Roman"/>
          <w:sz w:val="24"/>
          <w:szCs w:val="24"/>
        </w:rPr>
        <w:t>ta espécie.</w:t>
      </w:r>
    </w:p>
    <w:p w14:paraId="7D2D144A" w14:textId="4E318892" w:rsidR="00885CA9" w:rsidRPr="004A0730" w:rsidRDefault="00946126" w:rsidP="002B4414">
      <w:pPr>
        <w:spacing w:after="0" w:line="480" w:lineRule="auto"/>
        <w:jc w:val="both"/>
        <w:rPr>
          <w:rFonts w:ascii="Times New Roman" w:hAnsi="Times New Roman" w:cs="Times New Roman"/>
          <w:sz w:val="24"/>
          <w:szCs w:val="24"/>
        </w:rPr>
      </w:pPr>
      <w:r w:rsidRPr="004A0730">
        <w:rPr>
          <w:rFonts w:ascii="Times New Roman" w:hAnsi="Times New Roman" w:cs="Times New Roman"/>
          <w:b/>
          <w:bCs/>
          <w:sz w:val="24"/>
          <w:szCs w:val="24"/>
        </w:rPr>
        <w:t>T</w:t>
      </w:r>
      <w:r w:rsidR="00124F7E" w:rsidRPr="004A0730">
        <w:rPr>
          <w:rFonts w:ascii="Times New Roman" w:hAnsi="Times New Roman" w:cs="Times New Roman"/>
          <w:b/>
          <w:bCs/>
          <w:sz w:val="24"/>
          <w:szCs w:val="24"/>
        </w:rPr>
        <w:t>ABELA</w:t>
      </w:r>
      <w:r w:rsidR="00FE339C" w:rsidRPr="004A0730">
        <w:rPr>
          <w:rFonts w:ascii="Times New Roman" w:hAnsi="Times New Roman" w:cs="Times New Roman"/>
          <w:b/>
          <w:bCs/>
          <w:sz w:val="24"/>
          <w:szCs w:val="24"/>
        </w:rPr>
        <w:t xml:space="preserve"> 3.</w:t>
      </w:r>
      <w:r w:rsidRPr="004A0730">
        <w:rPr>
          <w:rFonts w:ascii="Times New Roman" w:hAnsi="Times New Roman" w:cs="Times New Roman"/>
          <w:sz w:val="24"/>
          <w:szCs w:val="24"/>
        </w:rPr>
        <w:t xml:space="preserve"> Média e desvio-padrão de Índice de Qualidade de Dickson para os diferentes recipientes em cada concentração de P</w:t>
      </w:r>
      <w:r w:rsidRPr="004A0730">
        <w:rPr>
          <w:rFonts w:ascii="Times New Roman" w:hAnsi="Times New Roman" w:cs="Times New Roman"/>
          <w:sz w:val="24"/>
          <w:szCs w:val="24"/>
          <w:vertAlign w:val="subscript"/>
        </w:rPr>
        <w:t>2</w:t>
      </w:r>
      <w:r w:rsidRPr="004A0730">
        <w:rPr>
          <w:rFonts w:ascii="Times New Roman" w:hAnsi="Times New Roman" w:cs="Times New Roman"/>
          <w:sz w:val="24"/>
          <w:szCs w:val="24"/>
        </w:rPr>
        <w:t>O</w:t>
      </w:r>
      <w:r w:rsidRPr="004A0730">
        <w:rPr>
          <w:rFonts w:ascii="Times New Roman" w:hAnsi="Times New Roman" w:cs="Times New Roman"/>
          <w:sz w:val="24"/>
          <w:szCs w:val="24"/>
          <w:vertAlign w:val="subscript"/>
        </w:rPr>
        <w:t>5</w:t>
      </w:r>
      <w:r w:rsidRPr="004A0730">
        <w:rPr>
          <w:rFonts w:ascii="Times New Roman" w:hAnsi="Times New Roman" w:cs="Times New Roman"/>
          <w:sz w:val="24"/>
          <w:szCs w:val="24"/>
        </w:rPr>
        <w:t xml:space="preserve"> para </w:t>
      </w:r>
      <w:r w:rsidRPr="004A0730">
        <w:rPr>
          <w:rFonts w:ascii="Times New Roman" w:hAnsi="Times New Roman" w:cs="Times New Roman"/>
          <w:i/>
          <w:iCs/>
          <w:sz w:val="24"/>
          <w:szCs w:val="24"/>
        </w:rPr>
        <w:t>Guazuma</w:t>
      </w:r>
      <w:r w:rsidR="007E7729" w:rsidRPr="004A0730">
        <w:rPr>
          <w:rFonts w:ascii="Times New Roman" w:hAnsi="Times New Roman" w:cs="Times New Roman"/>
          <w:i/>
          <w:iCs/>
          <w:sz w:val="24"/>
          <w:szCs w:val="24"/>
        </w:rPr>
        <w:t xml:space="preserve"> </w:t>
      </w:r>
      <w:r w:rsidRPr="004A0730">
        <w:rPr>
          <w:rFonts w:ascii="Times New Roman" w:hAnsi="Times New Roman" w:cs="Times New Roman"/>
          <w:i/>
          <w:iCs/>
          <w:sz w:val="24"/>
          <w:szCs w:val="24"/>
        </w:rPr>
        <w:t>ulmifolia</w:t>
      </w:r>
      <w:r w:rsidR="00F1089F" w:rsidRPr="004A0730">
        <w:rPr>
          <w:rFonts w:ascii="Times New Roman" w:hAnsi="Times New Roman" w:cs="Times New Roman"/>
          <w:i/>
          <w:iCs/>
          <w:sz w:val="24"/>
          <w:szCs w:val="24"/>
        </w:rPr>
        <w:t xml:space="preserve"> </w:t>
      </w:r>
      <w:r w:rsidRPr="004A0730">
        <w:rPr>
          <w:rFonts w:ascii="Times New Roman" w:hAnsi="Times New Roman" w:cs="Times New Roman"/>
          <w:sz w:val="24"/>
          <w:szCs w:val="24"/>
        </w:rPr>
        <w:t>Lam.</w:t>
      </w:r>
    </w:p>
    <w:tbl>
      <w:tblPr>
        <w:tblW w:w="9282" w:type="dxa"/>
        <w:tblInd w:w="-68" w:type="dxa"/>
        <w:tblCellMar>
          <w:left w:w="70" w:type="dxa"/>
          <w:right w:w="70" w:type="dxa"/>
        </w:tblCellMar>
        <w:tblLook w:val="00A0" w:firstRow="1" w:lastRow="0" w:firstColumn="1" w:lastColumn="0" w:noHBand="0" w:noVBand="0"/>
      </w:tblPr>
      <w:tblGrid>
        <w:gridCol w:w="3187"/>
        <w:gridCol w:w="1470"/>
        <w:gridCol w:w="1560"/>
        <w:gridCol w:w="1660"/>
        <w:gridCol w:w="1405"/>
      </w:tblGrid>
      <w:tr w:rsidR="00946126" w:rsidRPr="00E86C13" w14:paraId="58D94A72" w14:textId="77777777" w:rsidTr="00E86C13">
        <w:trPr>
          <w:trHeight w:val="315"/>
        </w:trPr>
        <w:tc>
          <w:tcPr>
            <w:tcW w:w="3187" w:type="dxa"/>
            <w:vMerge w:val="restart"/>
            <w:tcBorders>
              <w:top w:val="single" w:sz="4" w:space="0" w:color="auto"/>
              <w:left w:val="nil"/>
              <w:bottom w:val="single" w:sz="4" w:space="0" w:color="000000"/>
              <w:right w:val="nil"/>
            </w:tcBorders>
            <w:noWrap/>
            <w:vAlign w:val="center"/>
          </w:tcPr>
          <w:p w14:paraId="6CE90FFA" w14:textId="77777777" w:rsidR="00946126" w:rsidRPr="00E86C13" w:rsidRDefault="00946126"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lastRenderedPageBreak/>
              <w:t>Concentração de P</w:t>
            </w:r>
            <w:r w:rsidRPr="00E86C13">
              <w:rPr>
                <w:rFonts w:ascii="Times New Roman" w:hAnsi="Times New Roman" w:cs="Times New Roman"/>
                <w:b/>
                <w:bCs/>
                <w:sz w:val="20"/>
                <w:szCs w:val="20"/>
                <w:vertAlign w:val="subscript"/>
                <w:lang w:eastAsia="pt-BR"/>
              </w:rPr>
              <w:t>2</w:t>
            </w:r>
            <w:r w:rsidRPr="00E86C13">
              <w:rPr>
                <w:rFonts w:ascii="Times New Roman" w:hAnsi="Times New Roman" w:cs="Times New Roman"/>
                <w:b/>
                <w:bCs/>
                <w:sz w:val="20"/>
                <w:szCs w:val="20"/>
                <w:lang w:eastAsia="pt-BR"/>
              </w:rPr>
              <w:t>O</w:t>
            </w:r>
            <w:r w:rsidRPr="00E86C13">
              <w:rPr>
                <w:rFonts w:ascii="Times New Roman" w:hAnsi="Times New Roman" w:cs="Times New Roman"/>
                <w:b/>
                <w:bCs/>
                <w:sz w:val="20"/>
                <w:szCs w:val="20"/>
                <w:vertAlign w:val="subscript"/>
                <w:lang w:eastAsia="pt-BR"/>
              </w:rPr>
              <w:t>5</w:t>
            </w:r>
            <w:r w:rsidRPr="00E86C13">
              <w:rPr>
                <w:rFonts w:ascii="Times New Roman" w:hAnsi="Times New Roman" w:cs="Times New Roman"/>
                <w:b/>
                <w:bCs/>
                <w:sz w:val="20"/>
                <w:szCs w:val="20"/>
                <w:lang w:eastAsia="pt-BR"/>
              </w:rPr>
              <w:t xml:space="preserve"> (g/m³)</w:t>
            </w:r>
          </w:p>
        </w:tc>
        <w:tc>
          <w:tcPr>
            <w:tcW w:w="3030" w:type="dxa"/>
            <w:gridSpan w:val="2"/>
            <w:tcBorders>
              <w:top w:val="single" w:sz="4" w:space="0" w:color="auto"/>
              <w:left w:val="nil"/>
              <w:bottom w:val="single" w:sz="4" w:space="0" w:color="auto"/>
              <w:right w:val="nil"/>
            </w:tcBorders>
            <w:noWrap/>
            <w:vAlign w:val="bottom"/>
          </w:tcPr>
          <w:p w14:paraId="4416EB12" w14:textId="77777777" w:rsidR="00946126" w:rsidRPr="00E86C13" w:rsidRDefault="00946126"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Recipiente</w:t>
            </w:r>
          </w:p>
        </w:tc>
        <w:tc>
          <w:tcPr>
            <w:tcW w:w="1660" w:type="dxa"/>
            <w:vMerge w:val="restart"/>
            <w:tcBorders>
              <w:top w:val="single" w:sz="4" w:space="0" w:color="auto"/>
              <w:left w:val="nil"/>
              <w:bottom w:val="single" w:sz="4" w:space="0" w:color="000000"/>
              <w:right w:val="nil"/>
            </w:tcBorders>
            <w:noWrap/>
            <w:vAlign w:val="center"/>
          </w:tcPr>
          <w:p w14:paraId="3E44F81E" w14:textId="77777777" w:rsidR="00946126" w:rsidRPr="00E86C13" w:rsidRDefault="00946126"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T (p-valor)</w:t>
            </w:r>
          </w:p>
        </w:tc>
        <w:tc>
          <w:tcPr>
            <w:tcW w:w="1405" w:type="dxa"/>
            <w:vMerge w:val="restart"/>
            <w:tcBorders>
              <w:top w:val="single" w:sz="4" w:space="0" w:color="auto"/>
              <w:left w:val="nil"/>
              <w:bottom w:val="single" w:sz="4" w:space="0" w:color="000000"/>
              <w:right w:val="nil"/>
            </w:tcBorders>
            <w:noWrap/>
            <w:vAlign w:val="center"/>
          </w:tcPr>
          <w:p w14:paraId="76EF63EC" w14:textId="21D1AE15" w:rsidR="00946126" w:rsidRPr="00E86C13" w:rsidRDefault="00AB65E2"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F (p-valor)</w:t>
            </w:r>
          </w:p>
        </w:tc>
      </w:tr>
      <w:tr w:rsidR="00946126" w:rsidRPr="00E86C13" w14:paraId="47CC80F7" w14:textId="77777777" w:rsidTr="00E86C13">
        <w:trPr>
          <w:trHeight w:val="315"/>
        </w:trPr>
        <w:tc>
          <w:tcPr>
            <w:tcW w:w="3187" w:type="dxa"/>
            <w:vMerge/>
            <w:tcBorders>
              <w:top w:val="single" w:sz="4" w:space="0" w:color="auto"/>
              <w:left w:val="nil"/>
              <w:bottom w:val="single" w:sz="4" w:space="0" w:color="000000"/>
              <w:right w:val="nil"/>
            </w:tcBorders>
            <w:vAlign w:val="center"/>
          </w:tcPr>
          <w:p w14:paraId="2309DF0B" w14:textId="77777777" w:rsidR="00946126" w:rsidRPr="00E86C13" w:rsidRDefault="00946126" w:rsidP="00926E1A">
            <w:pPr>
              <w:spacing w:after="0" w:line="480" w:lineRule="auto"/>
              <w:rPr>
                <w:rFonts w:ascii="Times New Roman" w:hAnsi="Times New Roman" w:cs="Times New Roman"/>
                <w:b/>
                <w:bCs/>
                <w:sz w:val="20"/>
                <w:szCs w:val="20"/>
                <w:lang w:eastAsia="pt-BR"/>
              </w:rPr>
            </w:pPr>
          </w:p>
        </w:tc>
        <w:tc>
          <w:tcPr>
            <w:tcW w:w="1470" w:type="dxa"/>
            <w:tcBorders>
              <w:top w:val="single" w:sz="4" w:space="0" w:color="auto"/>
              <w:left w:val="nil"/>
              <w:bottom w:val="single" w:sz="4" w:space="0" w:color="auto"/>
              <w:right w:val="nil"/>
            </w:tcBorders>
            <w:noWrap/>
            <w:vAlign w:val="bottom"/>
          </w:tcPr>
          <w:p w14:paraId="4CBE647D" w14:textId="77777777" w:rsidR="00946126" w:rsidRPr="00E86C13" w:rsidRDefault="00946126"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120 cm³</w:t>
            </w:r>
          </w:p>
        </w:tc>
        <w:tc>
          <w:tcPr>
            <w:tcW w:w="1560" w:type="dxa"/>
            <w:tcBorders>
              <w:top w:val="single" w:sz="4" w:space="0" w:color="auto"/>
              <w:left w:val="nil"/>
              <w:bottom w:val="single" w:sz="4" w:space="0" w:color="auto"/>
              <w:right w:val="nil"/>
            </w:tcBorders>
            <w:noWrap/>
            <w:vAlign w:val="bottom"/>
          </w:tcPr>
          <w:p w14:paraId="3F21F1CB" w14:textId="77777777" w:rsidR="00946126" w:rsidRPr="00E86C13" w:rsidRDefault="00946126"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56 cm³</w:t>
            </w:r>
          </w:p>
        </w:tc>
        <w:tc>
          <w:tcPr>
            <w:tcW w:w="1660" w:type="dxa"/>
            <w:vMerge/>
            <w:tcBorders>
              <w:top w:val="single" w:sz="4" w:space="0" w:color="auto"/>
              <w:left w:val="nil"/>
              <w:bottom w:val="single" w:sz="4" w:space="0" w:color="000000"/>
              <w:right w:val="nil"/>
            </w:tcBorders>
            <w:vAlign w:val="center"/>
          </w:tcPr>
          <w:p w14:paraId="1445BF2F" w14:textId="77777777" w:rsidR="00946126" w:rsidRPr="00E86C13" w:rsidRDefault="00946126" w:rsidP="00926E1A">
            <w:pPr>
              <w:spacing w:after="0" w:line="480" w:lineRule="auto"/>
              <w:rPr>
                <w:rFonts w:ascii="Times New Roman" w:hAnsi="Times New Roman" w:cs="Times New Roman"/>
                <w:b/>
                <w:bCs/>
                <w:sz w:val="20"/>
                <w:szCs w:val="20"/>
                <w:lang w:eastAsia="pt-BR"/>
              </w:rPr>
            </w:pPr>
          </w:p>
        </w:tc>
        <w:tc>
          <w:tcPr>
            <w:tcW w:w="1405" w:type="dxa"/>
            <w:vMerge/>
            <w:tcBorders>
              <w:top w:val="single" w:sz="4" w:space="0" w:color="auto"/>
              <w:left w:val="nil"/>
              <w:bottom w:val="single" w:sz="4" w:space="0" w:color="000000"/>
              <w:right w:val="nil"/>
            </w:tcBorders>
            <w:vAlign w:val="center"/>
          </w:tcPr>
          <w:p w14:paraId="52C417A9" w14:textId="77777777" w:rsidR="00946126" w:rsidRPr="00E86C13" w:rsidRDefault="00946126" w:rsidP="00926E1A">
            <w:pPr>
              <w:spacing w:after="0" w:line="480" w:lineRule="auto"/>
              <w:rPr>
                <w:rFonts w:ascii="Times New Roman" w:hAnsi="Times New Roman" w:cs="Times New Roman"/>
                <w:b/>
                <w:bCs/>
                <w:sz w:val="20"/>
                <w:szCs w:val="20"/>
                <w:lang w:eastAsia="pt-BR"/>
              </w:rPr>
            </w:pPr>
          </w:p>
        </w:tc>
      </w:tr>
      <w:tr w:rsidR="00AB65E2" w:rsidRPr="00E86C13" w14:paraId="51CC471F" w14:textId="77777777" w:rsidTr="00E86C13">
        <w:trPr>
          <w:trHeight w:val="315"/>
        </w:trPr>
        <w:tc>
          <w:tcPr>
            <w:tcW w:w="3187" w:type="dxa"/>
            <w:tcBorders>
              <w:top w:val="nil"/>
              <w:left w:val="nil"/>
              <w:bottom w:val="nil"/>
              <w:right w:val="nil"/>
            </w:tcBorders>
            <w:noWrap/>
            <w:vAlign w:val="bottom"/>
          </w:tcPr>
          <w:p w14:paraId="0B7C6404"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180</w:t>
            </w:r>
          </w:p>
        </w:tc>
        <w:tc>
          <w:tcPr>
            <w:tcW w:w="1470" w:type="dxa"/>
            <w:tcBorders>
              <w:top w:val="nil"/>
              <w:left w:val="nil"/>
              <w:bottom w:val="nil"/>
              <w:right w:val="nil"/>
            </w:tcBorders>
            <w:noWrap/>
            <w:vAlign w:val="bottom"/>
          </w:tcPr>
          <w:p w14:paraId="3E15B097" w14:textId="331D6F61" w:rsidR="00AB65E2" w:rsidRPr="00E86C13" w:rsidRDefault="00AB65E2" w:rsidP="00073739">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0,31(</w:t>
            </w:r>
            <w:r w:rsidR="00073739"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0,11)</w:t>
            </w:r>
          </w:p>
        </w:tc>
        <w:tc>
          <w:tcPr>
            <w:tcW w:w="1560" w:type="dxa"/>
            <w:tcBorders>
              <w:top w:val="nil"/>
              <w:left w:val="nil"/>
              <w:bottom w:val="nil"/>
              <w:right w:val="nil"/>
            </w:tcBorders>
            <w:noWrap/>
            <w:vAlign w:val="bottom"/>
          </w:tcPr>
          <w:p w14:paraId="6124611A" w14:textId="31DC4685"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0,18</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0,07)</w:t>
            </w:r>
          </w:p>
        </w:tc>
        <w:tc>
          <w:tcPr>
            <w:tcW w:w="1660" w:type="dxa"/>
            <w:tcBorders>
              <w:top w:val="nil"/>
              <w:left w:val="nil"/>
              <w:bottom w:val="nil"/>
              <w:right w:val="nil"/>
            </w:tcBorders>
            <w:noWrap/>
            <w:vAlign w:val="bottom"/>
          </w:tcPr>
          <w:p w14:paraId="4BAE10E4"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2,252 (0,054)</w:t>
            </w:r>
          </w:p>
        </w:tc>
        <w:tc>
          <w:tcPr>
            <w:tcW w:w="1405" w:type="dxa"/>
            <w:tcBorders>
              <w:top w:val="nil"/>
              <w:left w:val="nil"/>
              <w:bottom w:val="nil"/>
              <w:right w:val="nil"/>
            </w:tcBorders>
            <w:noWrap/>
          </w:tcPr>
          <w:p w14:paraId="6FCACAA0" w14:textId="7A9B06EF"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5,07 (0,054)</w:t>
            </w:r>
          </w:p>
        </w:tc>
      </w:tr>
      <w:tr w:rsidR="00AB65E2" w:rsidRPr="00E86C13" w14:paraId="0B7FE0BE" w14:textId="77777777" w:rsidTr="00E86C13">
        <w:trPr>
          <w:trHeight w:val="315"/>
        </w:trPr>
        <w:tc>
          <w:tcPr>
            <w:tcW w:w="3187" w:type="dxa"/>
            <w:tcBorders>
              <w:top w:val="nil"/>
              <w:left w:val="nil"/>
              <w:bottom w:val="nil"/>
              <w:right w:val="nil"/>
            </w:tcBorders>
            <w:noWrap/>
            <w:vAlign w:val="bottom"/>
          </w:tcPr>
          <w:p w14:paraId="24D158CA"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360</w:t>
            </w:r>
          </w:p>
        </w:tc>
        <w:tc>
          <w:tcPr>
            <w:tcW w:w="1470" w:type="dxa"/>
            <w:tcBorders>
              <w:top w:val="nil"/>
              <w:left w:val="nil"/>
              <w:bottom w:val="nil"/>
              <w:right w:val="nil"/>
            </w:tcBorders>
            <w:noWrap/>
            <w:vAlign w:val="bottom"/>
          </w:tcPr>
          <w:p w14:paraId="0E47FFC6" w14:textId="38C2818F"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0,36</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0,04)</w:t>
            </w:r>
          </w:p>
        </w:tc>
        <w:tc>
          <w:tcPr>
            <w:tcW w:w="1560" w:type="dxa"/>
            <w:tcBorders>
              <w:top w:val="nil"/>
              <w:left w:val="nil"/>
              <w:bottom w:val="nil"/>
              <w:right w:val="nil"/>
            </w:tcBorders>
            <w:noWrap/>
            <w:vAlign w:val="bottom"/>
          </w:tcPr>
          <w:p w14:paraId="7B2BFFDB" w14:textId="7A5E0569"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0,25(</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0,09)</w:t>
            </w:r>
          </w:p>
        </w:tc>
        <w:tc>
          <w:tcPr>
            <w:tcW w:w="1660" w:type="dxa"/>
            <w:tcBorders>
              <w:top w:val="nil"/>
              <w:left w:val="nil"/>
              <w:bottom w:val="nil"/>
              <w:right w:val="nil"/>
            </w:tcBorders>
            <w:noWrap/>
            <w:vAlign w:val="bottom"/>
          </w:tcPr>
          <w:p w14:paraId="620365D9"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2,383 (0,044)</w:t>
            </w:r>
          </w:p>
        </w:tc>
        <w:tc>
          <w:tcPr>
            <w:tcW w:w="1405" w:type="dxa"/>
            <w:tcBorders>
              <w:top w:val="nil"/>
              <w:left w:val="nil"/>
              <w:bottom w:val="nil"/>
              <w:right w:val="nil"/>
            </w:tcBorders>
            <w:noWrap/>
          </w:tcPr>
          <w:p w14:paraId="37672840" w14:textId="690DE011"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5,68 (0,044)</w:t>
            </w:r>
          </w:p>
        </w:tc>
      </w:tr>
      <w:tr w:rsidR="00AB65E2" w:rsidRPr="00E86C13" w14:paraId="4150195E" w14:textId="77777777" w:rsidTr="00E86C13">
        <w:trPr>
          <w:trHeight w:val="315"/>
        </w:trPr>
        <w:tc>
          <w:tcPr>
            <w:tcW w:w="3187" w:type="dxa"/>
            <w:tcBorders>
              <w:top w:val="nil"/>
              <w:left w:val="nil"/>
              <w:bottom w:val="nil"/>
              <w:right w:val="nil"/>
            </w:tcBorders>
            <w:noWrap/>
            <w:vAlign w:val="bottom"/>
          </w:tcPr>
          <w:p w14:paraId="43DD830F"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540</w:t>
            </w:r>
          </w:p>
        </w:tc>
        <w:tc>
          <w:tcPr>
            <w:tcW w:w="1470" w:type="dxa"/>
            <w:tcBorders>
              <w:top w:val="nil"/>
              <w:left w:val="nil"/>
              <w:bottom w:val="nil"/>
              <w:right w:val="nil"/>
            </w:tcBorders>
            <w:noWrap/>
            <w:vAlign w:val="bottom"/>
          </w:tcPr>
          <w:p w14:paraId="23F9AC78" w14:textId="0AD048AF"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0,35</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0,07)</w:t>
            </w:r>
          </w:p>
        </w:tc>
        <w:tc>
          <w:tcPr>
            <w:tcW w:w="1560" w:type="dxa"/>
            <w:tcBorders>
              <w:top w:val="nil"/>
              <w:left w:val="nil"/>
              <w:bottom w:val="nil"/>
              <w:right w:val="nil"/>
            </w:tcBorders>
            <w:noWrap/>
            <w:vAlign w:val="bottom"/>
          </w:tcPr>
          <w:p w14:paraId="3C5A3F27" w14:textId="72169DD8" w:rsidR="00AB65E2" w:rsidRPr="00E86C13" w:rsidRDefault="00AB65E2" w:rsidP="00073739">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0,29(</w:t>
            </w:r>
            <w:r w:rsidR="00073739"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0,09)</w:t>
            </w:r>
          </w:p>
        </w:tc>
        <w:tc>
          <w:tcPr>
            <w:tcW w:w="1660" w:type="dxa"/>
            <w:tcBorders>
              <w:top w:val="nil"/>
              <w:left w:val="nil"/>
              <w:bottom w:val="nil"/>
              <w:right w:val="nil"/>
            </w:tcBorders>
            <w:noWrap/>
            <w:vAlign w:val="bottom"/>
          </w:tcPr>
          <w:p w14:paraId="6D35808D"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1,214 (0,260)</w:t>
            </w:r>
          </w:p>
        </w:tc>
        <w:tc>
          <w:tcPr>
            <w:tcW w:w="1405" w:type="dxa"/>
            <w:tcBorders>
              <w:top w:val="nil"/>
              <w:left w:val="nil"/>
              <w:bottom w:val="nil"/>
              <w:right w:val="nil"/>
            </w:tcBorders>
            <w:noWrap/>
          </w:tcPr>
          <w:p w14:paraId="389182B5" w14:textId="530A9690"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1,47 (0,260)</w:t>
            </w:r>
          </w:p>
        </w:tc>
      </w:tr>
      <w:tr w:rsidR="00AB65E2" w:rsidRPr="00E86C13" w14:paraId="5E2CDC07" w14:textId="77777777" w:rsidTr="00E86C13">
        <w:trPr>
          <w:trHeight w:val="315"/>
        </w:trPr>
        <w:tc>
          <w:tcPr>
            <w:tcW w:w="3187" w:type="dxa"/>
            <w:tcBorders>
              <w:top w:val="nil"/>
              <w:left w:val="nil"/>
              <w:bottom w:val="nil"/>
              <w:right w:val="nil"/>
            </w:tcBorders>
            <w:noWrap/>
            <w:vAlign w:val="bottom"/>
          </w:tcPr>
          <w:p w14:paraId="38EA0D28"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720</w:t>
            </w:r>
          </w:p>
        </w:tc>
        <w:tc>
          <w:tcPr>
            <w:tcW w:w="1470" w:type="dxa"/>
            <w:tcBorders>
              <w:top w:val="nil"/>
              <w:left w:val="nil"/>
              <w:bottom w:val="nil"/>
              <w:right w:val="nil"/>
            </w:tcBorders>
            <w:noWrap/>
            <w:vAlign w:val="bottom"/>
          </w:tcPr>
          <w:p w14:paraId="0607817D" w14:textId="32E3FBC5"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0,34</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0,12)</w:t>
            </w:r>
          </w:p>
        </w:tc>
        <w:tc>
          <w:tcPr>
            <w:tcW w:w="1560" w:type="dxa"/>
            <w:tcBorders>
              <w:top w:val="nil"/>
              <w:left w:val="nil"/>
              <w:bottom w:val="nil"/>
              <w:right w:val="nil"/>
            </w:tcBorders>
            <w:noWrap/>
            <w:vAlign w:val="bottom"/>
          </w:tcPr>
          <w:p w14:paraId="68FF5699" w14:textId="2E86F09C"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0,22</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0,05)</w:t>
            </w:r>
          </w:p>
        </w:tc>
        <w:tc>
          <w:tcPr>
            <w:tcW w:w="1660" w:type="dxa"/>
            <w:tcBorders>
              <w:top w:val="nil"/>
              <w:left w:val="nil"/>
              <w:bottom w:val="nil"/>
              <w:right w:val="nil"/>
            </w:tcBorders>
            <w:noWrap/>
            <w:vAlign w:val="bottom"/>
          </w:tcPr>
          <w:p w14:paraId="26AA22A5"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2,130 (0,066)</w:t>
            </w:r>
          </w:p>
        </w:tc>
        <w:tc>
          <w:tcPr>
            <w:tcW w:w="1405" w:type="dxa"/>
            <w:tcBorders>
              <w:top w:val="nil"/>
              <w:left w:val="nil"/>
              <w:bottom w:val="nil"/>
              <w:right w:val="nil"/>
            </w:tcBorders>
            <w:noWrap/>
          </w:tcPr>
          <w:p w14:paraId="67FFDF78" w14:textId="00F53EE8"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4,54 (0,066)</w:t>
            </w:r>
          </w:p>
        </w:tc>
      </w:tr>
      <w:tr w:rsidR="00AB65E2" w:rsidRPr="00E86C13" w14:paraId="4AE9B2C7" w14:textId="77777777" w:rsidTr="00E86C13">
        <w:trPr>
          <w:trHeight w:val="315"/>
        </w:trPr>
        <w:tc>
          <w:tcPr>
            <w:tcW w:w="3187" w:type="dxa"/>
            <w:tcBorders>
              <w:top w:val="nil"/>
              <w:left w:val="nil"/>
              <w:bottom w:val="single" w:sz="4" w:space="0" w:color="auto"/>
              <w:right w:val="nil"/>
            </w:tcBorders>
            <w:noWrap/>
            <w:vAlign w:val="bottom"/>
          </w:tcPr>
          <w:p w14:paraId="7A01E5C9"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900</w:t>
            </w:r>
          </w:p>
        </w:tc>
        <w:tc>
          <w:tcPr>
            <w:tcW w:w="1470" w:type="dxa"/>
            <w:tcBorders>
              <w:top w:val="nil"/>
              <w:left w:val="nil"/>
              <w:bottom w:val="single" w:sz="4" w:space="0" w:color="auto"/>
              <w:right w:val="nil"/>
            </w:tcBorders>
            <w:noWrap/>
            <w:vAlign w:val="bottom"/>
          </w:tcPr>
          <w:p w14:paraId="35D949C7" w14:textId="274C04B5"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0,29</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0,16)</w:t>
            </w:r>
          </w:p>
        </w:tc>
        <w:tc>
          <w:tcPr>
            <w:tcW w:w="1560" w:type="dxa"/>
            <w:tcBorders>
              <w:top w:val="nil"/>
              <w:left w:val="nil"/>
              <w:bottom w:val="single" w:sz="4" w:space="0" w:color="auto"/>
              <w:right w:val="nil"/>
            </w:tcBorders>
            <w:noWrap/>
            <w:vAlign w:val="bottom"/>
          </w:tcPr>
          <w:p w14:paraId="6BF03793" w14:textId="5249A3B3"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0,29</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0,10)</w:t>
            </w:r>
          </w:p>
        </w:tc>
        <w:tc>
          <w:tcPr>
            <w:tcW w:w="1660" w:type="dxa"/>
            <w:tcBorders>
              <w:top w:val="nil"/>
              <w:left w:val="nil"/>
              <w:bottom w:val="single" w:sz="4" w:space="0" w:color="auto"/>
              <w:right w:val="nil"/>
            </w:tcBorders>
            <w:noWrap/>
            <w:vAlign w:val="bottom"/>
          </w:tcPr>
          <w:p w14:paraId="7990EBE6"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0,049 (0,962)</w:t>
            </w:r>
          </w:p>
        </w:tc>
        <w:tc>
          <w:tcPr>
            <w:tcW w:w="1405" w:type="dxa"/>
            <w:tcBorders>
              <w:top w:val="nil"/>
              <w:left w:val="nil"/>
              <w:bottom w:val="single" w:sz="4" w:space="0" w:color="auto"/>
              <w:right w:val="nil"/>
            </w:tcBorders>
            <w:noWrap/>
          </w:tcPr>
          <w:p w14:paraId="47B6CD2B" w14:textId="03B7B71C"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0,002 (0,96)</w:t>
            </w:r>
          </w:p>
        </w:tc>
      </w:tr>
    </w:tbl>
    <w:p w14:paraId="027C5310" w14:textId="09177B32" w:rsidR="00946126" w:rsidRPr="004F57DA" w:rsidRDefault="00FE339C" w:rsidP="00E24F82">
      <w:pPr>
        <w:spacing w:after="240" w:line="480" w:lineRule="auto"/>
        <w:jc w:val="both"/>
        <w:rPr>
          <w:rFonts w:ascii="Times New Roman" w:hAnsi="Times New Roman" w:cs="Times New Roman"/>
          <w:sz w:val="20"/>
          <w:szCs w:val="20"/>
        </w:rPr>
      </w:pPr>
      <w:r>
        <w:rPr>
          <w:rFonts w:ascii="Times New Roman" w:hAnsi="Times New Roman" w:cs="Times New Roman"/>
          <w:sz w:val="20"/>
          <w:szCs w:val="20"/>
        </w:rPr>
        <w:t xml:space="preserve">Em que: </w:t>
      </w:r>
      <w:r w:rsidR="00AB65E2" w:rsidRPr="004F57DA">
        <w:rPr>
          <w:rFonts w:ascii="Times New Roman" w:hAnsi="Times New Roman" w:cs="Times New Roman"/>
          <w:sz w:val="20"/>
          <w:szCs w:val="20"/>
        </w:rPr>
        <w:t>T – Estatística T para o teste de Welch; F – Estatística F da ANOVA</w:t>
      </w:r>
    </w:p>
    <w:p w14:paraId="768B4D53" w14:textId="00370D42" w:rsidR="00946126" w:rsidRPr="00457618" w:rsidRDefault="00946126" w:rsidP="00E24F82">
      <w:pPr>
        <w:spacing w:after="240" w:line="480" w:lineRule="auto"/>
        <w:jc w:val="both"/>
        <w:rPr>
          <w:rFonts w:ascii="Times New Roman" w:hAnsi="Times New Roman" w:cs="Times New Roman"/>
          <w:sz w:val="24"/>
          <w:szCs w:val="24"/>
        </w:rPr>
      </w:pPr>
      <w:r w:rsidRPr="00457618">
        <w:rPr>
          <w:rFonts w:ascii="Times New Roman" w:hAnsi="Times New Roman" w:cs="Times New Roman"/>
          <w:sz w:val="24"/>
          <w:szCs w:val="24"/>
        </w:rPr>
        <w:tab/>
        <w:t xml:space="preserve">Para </w:t>
      </w:r>
      <w:r w:rsidRPr="00457618">
        <w:rPr>
          <w:rFonts w:ascii="Times New Roman" w:hAnsi="Times New Roman" w:cs="Times New Roman"/>
          <w:i/>
          <w:iCs/>
          <w:sz w:val="24"/>
          <w:szCs w:val="24"/>
        </w:rPr>
        <w:t>S.</w:t>
      </w:r>
      <w:r w:rsidR="00380475" w:rsidRPr="00457618">
        <w:rPr>
          <w:rFonts w:ascii="Times New Roman" w:hAnsi="Times New Roman" w:cs="Times New Roman"/>
          <w:i/>
          <w:iCs/>
          <w:sz w:val="24"/>
          <w:szCs w:val="24"/>
        </w:rPr>
        <w:t xml:space="preserve"> </w:t>
      </w:r>
      <w:r w:rsidRPr="00457618">
        <w:rPr>
          <w:rFonts w:ascii="Times New Roman" w:hAnsi="Times New Roman" w:cs="Times New Roman"/>
          <w:i/>
          <w:iCs/>
          <w:sz w:val="24"/>
          <w:szCs w:val="24"/>
        </w:rPr>
        <w:t>terebinthifolius,</w:t>
      </w:r>
      <w:r w:rsidRPr="00457618">
        <w:rPr>
          <w:rFonts w:ascii="Times New Roman" w:hAnsi="Times New Roman" w:cs="Times New Roman"/>
          <w:sz w:val="24"/>
          <w:szCs w:val="24"/>
        </w:rPr>
        <w:t xml:space="preserve"> assim como para as demais espécies avaliadas, foram alcançados pontos de máximo IQD quando da ut</w:t>
      </w:r>
      <w:r w:rsidR="0078121C" w:rsidRPr="00457618">
        <w:rPr>
          <w:rFonts w:ascii="Times New Roman" w:hAnsi="Times New Roman" w:cs="Times New Roman"/>
          <w:sz w:val="24"/>
          <w:szCs w:val="24"/>
        </w:rPr>
        <w:t>ilização dos tubetes de 120 cm³</w:t>
      </w:r>
      <w:r w:rsidRPr="00457618">
        <w:rPr>
          <w:rFonts w:ascii="Times New Roman" w:hAnsi="Times New Roman" w:cs="Times New Roman"/>
          <w:sz w:val="24"/>
          <w:szCs w:val="24"/>
        </w:rPr>
        <w:t>. Nota-se que, para essa espécie, houve diferença significativa para as concentrações com 180, 360 e 540 g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Pr="00457618">
        <w:rPr>
          <w:rFonts w:ascii="Times New Roman" w:hAnsi="Times New Roman" w:cs="Times New Roman"/>
          <w:sz w:val="24"/>
          <w:szCs w:val="24"/>
        </w:rPr>
        <w:t>/m³</w:t>
      </w:r>
      <w:r w:rsidR="0078121C" w:rsidRPr="00457618">
        <w:rPr>
          <w:rFonts w:ascii="Times New Roman" w:hAnsi="Times New Roman" w:cs="Times New Roman"/>
          <w:sz w:val="24"/>
          <w:szCs w:val="24"/>
        </w:rPr>
        <w:t xml:space="preserve">, onde o IQD foi de </w:t>
      </w:r>
      <w:r w:rsidR="00F51D4B" w:rsidRPr="00457618">
        <w:rPr>
          <w:rFonts w:ascii="Times New Roman" w:hAnsi="Times New Roman" w:cs="Times New Roman"/>
          <w:sz w:val="24"/>
          <w:szCs w:val="24"/>
        </w:rPr>
        <w:t>0,20, 0,19</w:t>
      </w:r>
      <w:r w:rsidR="0078121C" w:rsidRPr="00457618">
        <w:rPr>
          <w:rFonts w:ascii="Times New Roman" w:hAnsi="Times New Roman" w:cs="Times New Roman"/>
          <w:sz w:val="24"/>
          <w:szCs w:val="24"/>
        </w:rPr>
        <w:t xml:space="preserve"> e 0,</w:t>
      </w:r>
      <w:r w:rsidR="00F51D4B" w:rsidRPr="00457618">
        <w:rPr>
          <w:rFonts w:ascii="Times New Roman" w:hAnsi="Times New Roman" w:cs="Times New Roman"/>
          <w:sz w:val="24"/>
          <w:szCs w:val="24"/>
        </w:rPr>
        <w:t>21</w:t>
      </w:r>
      <w:r w:rsidR="0078121C" w:rsidRPr="00457618">
        <w:rPr>
          <w:rFonts w:ascii="Times New Roman" w:hAnsi="Times New Roman" w:cs="Times New Roman"/>
          <w:sz w:val="24"/>
          <w:szCs w:val="24"/>
        </w:rPr>
        <w:t>, respectivamente</w:t>
      </w:r>
      <w:r w:rsidRPr="00457618">
        <w:rPr>
          <w:rFonts w:ascii="Times New Roman" w:hAnsi="Times New Roman" w:cs="Times New Roman"/>
          <w:sz w:val="24"/>
          <w:szCs w:val="24"/>
        </w:rPr>
        <w:t xml:space="preserve">. Desse modo, assim como ocorrido com </w:t>
      </w:r>
      <w:r w:rsidRPr="00457618">
        <w:rPr>
          <w:rFonts w:ascii="Times New Roman" w:hAnsi="Times New Roman" w:cs="Times New Roman"/>
          <w:i/>
          <w:iCs/>
          <w:sz w:val="24"/>
          <w:szCs w:val="24"/>
        </w:rPr>
        <w:t>C.</w:t>
      </w:r>
      <w:r w:rsidR="00741FF8" w:rsidRPr="00457618">
        <w:rPr>
          <w:rFonts w:ascii="Times New Roman" w:hAnsi="Times New Roman" w:cs="Times New Roman"/>
          <w:i/>
          <w:iCs/>
          <w:sz w:val="24"/>
          <w:szCs w:val="24"/>
        </w:rPr>
        <w:t xml:space="preserve"> </w:t>
      </w:r>
      <w:r w:rsidRPr="00457618">
        <w:rPr>
          <w:rFonts w:ascii="Times New Roman" w:hAnsi="Times New Roman" w:cs="Times New Roman"/>
          <w:i/>
          <w:iCs/>
          <w:sz w:val="24"/>
          <w:szCs w:val="24"/>
        </w:rPr>
        <w:t>speciosa,</w:t>
      </w:r>
      <w:r w:rsidRPr="00457618">
        <w:rPr>
          <w:rFonts w:ascii="Times New Roman" w:hAnsi="Times New Roman" w:cs="Times New Roman"/>
          <w:sz w:val="24"/>
          <w:szCs w:val="24"/>
        </w:rPr>
        <w:t xml:space="preserve"> a adição de menor concentração de P</w:t>
      </w:r>
      <w:r w:rsidRPr="00457618">
        <w:rPr>
          <w:rFonts w:ascii="Times New Roman" w:hAnsi="Times New Roman" w:cs="Times New Roman"/>
          <w:sz w:val="24"/>
          <w:szCs w:val="24"/>
          <w:vertAlign w:val="subscript"/>
        </w:rPr>
        <w:t>2</w:t>
      </w:r>
      <w:r w:rsidRPr="00457618">
        <w:rPr>
          <w:rFonts w:ascii="Times New Roman" w:hAnsi="Times New Roman" w:cs="Times New Roman"/>
          <w:sz w:val="24"/>
          <w:szCs w:val="24"/>
        </w:rPr>
        <w:t>O</w:t>
      </w:r>
      <w:r w:rsidRPr="00457618">
        <w:rPr>
          <w:rFonts w:ascii="Times New Roman" w:hAnsi="Times New Roman" w:cs="Times New Roman"/>
          <w:sz w:val="24"/>
          <w:szCs w:val="24"/>
          <w:vertAlign w:val="subscript"/>
        </w:rPr>
        <w:t>5</w:t>
      </w:r>
      <w:r w:rsidRPr="00457618">
        <w:rPr>
          <w:rFonts w:ascii="Times New Roman" w:hAnsi="Times New Roman" w:cs="Times New Roman"/>
          <w:sz w:val="24"/>
          <w:szCs w:val="24"/>
        </w:rPr>
        <w:t xml:space="preserve">/m³ de substrato foi suficiente para indicar o volume do recipiente que acarreta </w:t>
      </w:r>
      <w:r w:rsidR="00CF0B97" w:rsidRPr="00457618">
        <w:rPr>
          <w:rFonts w:ascii="Times New Roman" w:hAnsi="Times New Roman" w:cs="Times New Roman"/>
          <w:sz w:val="24"/>
          <w:szCs w:val="24"/>
        </w:rPr>
        <w:t>em valores significativos de</w:t>
      </w:r>
      <w:r w:rsidRPr="00457618">
        <w:rPr>
          <w:rFonts w:ascii="Times New Roman" w:hAnsi="Times New Roman" w:cs="Times New Roman"/>
          <w:sz w:val="24"/>
          <w:szCs w:val="24"/>
        </w:rPr>
        <w:t xml:space="preserve"> IQD.</w:t>
      </w:r>
    </w:p>
    <w:p w14:paraId="14B2B908" w14:textId="4BAAE709" w:rsidR="00946126" w:rsidRPr="004A0730" w:rsidRDefault="00946126" w:rsidP="002B4414">
      <w:pPr>
        <w:spacing w:after="0" w:line="480" w:lineRule="auto"/>
        <w:jc w:val="both"/>
        <w:rPr>
          <w:rFonts w:ascii="Times New Roman" w:hAnsi="Times New Roman" w:cs="Times New Roman"/>
          <w:b/>
          <w:bCs/>
          <w:i/>
          <w:iCs/>
          <w:sz w:val="24"/>
          <w:szCs w:val="24"/>
        </w:rPr>
      </w:pPr>
      <w:r w:rsidRPr="004A0730">
        <w:rPr>
          <w:rFonts w:ascii="Times New Roman" w:hAnsi="Times New Roman" w:cs="Times New Roman"/>
          <w:b/>
          <w:bCs/>
          <w:sz w:val="24"/>
          <w:szCs w:val="24"/>
        </w:rPr>
        <w:t>T</w:t>
      </w:r>
      <w:r w:rsidR="00124F7E" w:rsidRPr="004A0730">
        <w:rPr>
          <w:rFonts w:ascii="Times New Roman" w:hAnsi="Times New Roman" w:cs="Times New Roman"/>
          <w:b/>
          <w:bCs/>
          <w:sz w:val="24"/>
          <w:szCs w:val="24"/>
        </w:rPr>
        <w:t>ABELA</w:t>
      </w:r>
      <w:r w:rsidR="00FE339C" w:rsidRPr="004A0730">
        <w:rPr>
          <w:rFonts w:ascii="Times New Roman" w:hAnsi="Times New Roman" w:cs="Times New Roman"/>
          <w:b/>
          <w:bCs/>
          <w:sz w:val="24"/>
          <w:szCs w:val="24"/>
        </w:rPr>
        <w:t xml:space="preserve"> 4.</w:t>
      </w:r>
      <w:r w:rsidRPr="004A0730">
        <w:rPr>
          <w:rFonts w:ascii="Times New Roman" w:hAnsi="Times New Roman" w:cs="Times New Roman"/>
          <w:sz w:val="24"/>
          <w:szCs w:val="24"/>
        </w:rPr>
        <w:t xml:space="preserve"> Média e desvio-padrão de Índice de Qualidade de Dickson para os diferentes recipientes em cada concentração de P</w:t>
      </w:r>
      <w:r w:rsidRPr="004A0730">
        <w:rPr>
          <w:rFonts w:ascii="Times New Roman" w:hAnsi="Times New Roman" w:cs="Times New Roman"/>
          <w:sz w:val="24"/>
          <w:szCs w:val="24"/>
          <w:vertAlign w:val="subscript"/>
        </w:rPr>
        <w:t>2</w:t>
      </w:r>
      <w:r w:rsidRPr="004A0730">
        <w:rPr>
          <w:rFonts w:ascii="Times New Roman" w:hAnsi="Times New Roman" w:cs="Times New Roman"/>
          <w:sz w:val="24"/>
          <w:szCs w:val="24"/>
        </w:rPr>
        <w:t>O</w:t>
      </w:r>
      <w:r w:rsidRPr="004A0730">
        <w:rPr>
          <w:rFonts w:ascii="Times New Roman" w:hAnsi="Times New Roman" w:cs="Times New Roman"/>
          <w:sz w:val="24"/>
          <w:szCs w:val="24"/>
          <w:vertAlign w:val="subscript"/>
        </w:rPr>
        <w:t>5</w:t>
      </w:r>
      <w:r w:rsidRPr="004A0730">
        <w:rPr>
          <w:rFonts w:ascii="Times New Roman" w:hAnsi="Times New Roman" w:cs="Times New Roman"/>
          <w:sz w:val="24"/>
          <w:szCs w:val="24"/>
        </w:rPr>
        <w:t xml:space="preserve"> para </w:t>
      </w:r>
      <w:r w:rsidRPr="004A0730">
        <w:rPr>
          <w:rFonts w:ascii="Times New Roman" w:hAnsi="Times New Roman" w:cs="Times New Roman"/>
          <w:i/>
          <w:iCs/>
          <w:sz w:val="24"/>
          <w:szCs w:val="24"/>
        </w:rPr>
        <w:t>Schinus</w:t>
      </w:r>
      <w:r w:rsidR="007E7729" w:rsidRPr="004A0730">
        <w:rPr>
          <w:rFonts w:ascii="Times New Roman" w:hAnsi="Times New Roman" w:cs="Times New Roman"/>
          <w:i/>
          <w:iCs/>
          <w:sz w:val="24"/>
          <w:szCs w:val="24"/>
        </w:rPr>
        <w:t xml:space="preserve"> </w:t>
      </w:r>
      <w:r w:rsidRPr="004A0730">
        <w:rPr>
          <w:rFonts w:ascii="Times New Roman" w:hAnsi="Times New Roman" w:cs="Times New Roman"/>
          <w:i/>
          <w:iCs/>
          <w:sz w:val="24"/>
          <w:szCs w:val="24"/>
        </w:rPr>
        <w:t>terebinthifolius</w:t>
      </w:r>
      <w:r w:rsidR="007E7729" w:rsidRPr="004A0730">
        <w:rPr>
          <w:rFonts w:ascii="Times New Roman" w:hAnsi="Times New Roman" w:cs="Times New Roman"/>
          <w:i/>
          <w:iCs/>
          <w:sz w:val="24"/>
          <w:szCs w:val="24"/>
        </w:rPr>
        <w:t xml:space="preserve"> </w:t>
      </w:r>
      <w:r w:rsidRPr="004A0730">
        <w:rPr>
          <w:rFonts w:ascii="Times New Roman" w:hAnsi="Times New Roman" w:cs="Times New Roman"/>
          <w:sz w:val="24"/>
          <w:szCs w:val="24"/>
        </w:rPr>
        <w:t>Raddi.</w:t>
      </w:r>
    </w:p>
    <w:tbl>
      <w:tblPr>
        <w:tblW w:w="9282" w:type="dxa"/>
        <w:tblInd w:w="-68" w:type="dxa"/>
        <w:tblCellMar>
          <w:left w:w="70" w:type="dxa"/>
          <w:right w:w="70" w:type="dxa"/>
        </w:tblCellMar>
        <w:tblLook w:val="00A0" w:firstRow="1" w:lastRow="0" w:firstColumn="1" w:lastColumn="0" w:noHBand="0" w:noVBand="0"/>
      </w:tblPr>
      <w:tblGrid>
        <w:gridCol w:w="3187"/>
        <w:gridCol w:w="1471"/>
        <w:gridCol w:w="1417"/>
        <w:gridCol w:w="1660"/>
        <w:gridCol w:w="1547"/>
      </w:tblGrid>
      <w:tr w:rsidR="00885CA9" w:rsidRPr="00E86C13" w14:paraId="2AE35148" w14:textId="77777777" w:rsidTr="00E86C13">
        <w:trPr>
          <w:trHeight w:val="315"/>
        </w:trPr>
        <w:tc>
          <w:tcPr>
            <w:tcW w:w="3187" w:type="dxa"/>
            <w:vMerge w:val="restart"/>
            <w:tcBorders>
              <w:top w:val="single" w:sz="4" w:space="0" w:color="auto"/>
              <w:left w:val="nil"/>
              <w:bottom w:val="single" w:sz="4" w:space="0" w:color="000000"/>
              <w:right w:val="nil"/>
            </w:tcBorders>
            <w:noWrap/>
            <w:vAlign w:val="center"/>
          </w:tcPr>
          <w:p w14:paraId="2771287F" w14:textId="77777777"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Concentração de P</w:t>
            </w:r>
            <w:r w:rsidRPr="00E86C13">
              <w:rPr>
                <w:rFonts w:ascii="Times New Roman" w:hAnsi="Times New Roman" w:cs="Times New Roman"/>
                <w:b/>
                <w:bCs/>
                <w:sz w:val="20"/>
                <w:szCs w:val="20"/>
                <w:vertAlign w:val="subscript"/>
                <w:lang w:eastAsia="pt-BR"/>
              </w:rPr>
              <w:t>2</w:t>
            </w:r>
            <w:r w:rsidRPr="00E86C13">
              <w:rPr>
                <w:rFonts w:ascii="Times New Roman" w:hAnsi="Times New Roman" w:cs="Times New Roman"/>
                <w:b/>
                <w:bCs/>
                <w:sz w:val="20"/>
                <w:szCs w:val="20"/>
                <w:lang w:eastAsia="pt-BR"/>
              </w:rPr>
              <w:t>O</w:t>
            </w:r>
            <w:r w:rsidRPr="00E86C13">
              <w:rPr>
                <w:rFonts w:ascii="Times New Roman" w:hAnsi="Times New Roman" w:cs="Times New Roman"/>
                <w:b/>
                <w:bCs/>
                <w:sz w:val="20"/>
                <w:szCs w:val="20"/>
                <w:vertAlign w:val="subscript"/>
                <w:lang w:eastAsia="pt-BR"/>
              </w:rPr>
              <w:t>5</w:t>
            </w:r>
            <w:r w:rsidRPr="00E86C13">
              <w:rPr>
                <w:rFonts w:ascii="Times New Roman" w:hAnsi="Times New Roman" w:cs="Times New Roman"/>
                <w:b/>
                <w:bCs/>
                <w:sz w:val="20"/>
                <w:szCs w:val="20"/>
                <w:lang w:eastAsia="pt-BR"/>
              </w:rPr>
              <w:t xml:space="preserve"> (g/m³)</w:t>
            </w:r>
          </w:p>
        </w:tc>
        <w:tc>
          <w:tcPr>
            <w:tcW w:w="2888" w:type="dxa"/>
            <w:gridSpan w:val="2"/>
            <w:tcBorders>
              <w:top w:val="single" w:sz="4" w:space="0" w:color="auto"/>
              <w:left w:val="nil"/>
              <w:bottom w:val="nil"/>
              <w:right w:val="nil"/>
            </w:tcBorders>
            <w:noWrap/>
            <w:vAlign w:val="bottom"/>
          </w:tcPr>
          <w:p w14:paraId="3B2B59A4" w14:textId="77777777"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Recipiente</w:t>
            </w:r>
          </w:p>
        </w:tc>
        <w:tc>
          <w:tcPr>
            <w:tcW w:w="1660" w:type="dxa"/>
            <w:vMerge w:val="restart"/>
            <w:tcBorders>
              <w:top w:val="single" w:sz="4" w:space="0" w:color="auto"/>
              <w:left w:val="nil"/>
              <w:right w:val="nil"/>
            </w:tcBorders>
            <w:noWrap/>
            <w:vAlign w:val="center"/>
          </w:tcPr>
          <w:p w14:paraId="091AC9B0" w14:textId="77777777"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T (p-valor)</w:t>
            </w:r>
          </w:p>
        </w:tc>
        <w:tc>
          <w:tcPr>
            <w:tcW w:w="1547" w:type="dxa"/>
            <w:vMerge w:val="restart"/>
            <w:tcBorders>
              <w:top w:val="single" w:sz="4" w:space="0" w:color="auto"/>
              <w:left w:val="nil"/>
              <w:right w:val="nil"/>
            </w:tcBorders>
            <w:noWrap/>
            <w:vAlign w:val="center"/>
          </w:tcPr>
          <w:p w14:paraId="63B827FF" w14:textId="4AE28E08"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F (p-valor)</w:t>
            </w:r>
          </w:p>
        </w:tc>
      </w:tr>
      <w:tr w:rsidR="00885CA9" w:rsidRPr="00E86C13" w14:paraId="034F641C" w14:textId="77777777" w:rsidTr="00E86C13">
        <w:trPr>
          <w:trHeight w:val="315"/>
        </w:trPr>
        <w:tc>
          <w:tcPr>
            <w:tcW w:w="3187" w:type="dxa"/>
            <w:vMerge/>
            <w:tcBorders>
              <w:top w:val="single" w:sz="4" w:space="0" w:color="auto"/>
              <w:left w:val="nil"/>
              <w:bottom w:val="single" w:sz="4" w:space="0" w:color="000000"/>
              <w:right w:val="nil"/>
            </w:tcBorders>
            <w:vAlign w:val="center"/>
          </w:tcPr>
          <w:p w14:paraId="6DB2035B" w14:textId="77777777" w:rsidR="00885CA9" w:rsidRPr="00E86C13" w:rsidRDefault="00885CA9" w:rsidP="00926E1A">
            <w:pPr>
              <w:spacing w:after="0" w:line="480" w:lineRule="auto"/>
              <w:rPr>
                <w:rFonts w:ascii="Times New Roman" w:hAnsi="Times New Roman" w:cs="Times New Roman"/>
                <w:b/>
                <w:bCs/>
                <w:sz w:val="20"/>
                <w:szCs w:val="20"/>
                <w:lang w:eastAsia="pt-BR"/>
              </w:rPr>
            </w:pPr>
          </w:p>
        </w:tc>
        <w:tc>
          <w:tcPr>
            <w:tcW w:w="1471" w:type="dxa"/>
            <w:tcBorders>
              <w:top w:val="single" w:sz="4" w:space="0" w:color="auto"/>
              <w:left w:val="nil"/>
              <w:bottom w:val="nil"/>
              <w:right w:val="nil"/>
            </w:tcBorders>
            <w:noWrap/>
            <w:vAlign w:val="bottom"/>
          </w:tcPr>
          <w:p w14:paraId="6137AFD8" w14:textId="77777777"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120 cm³</w:t>
            </w:r>
          </w:p>
        </w:tc>
        <w:tc>
          <w:tcPr>
            <w:tcW w:w="1417" w:type="dxa"/>
            <w:tcBorders>
              <w:top w:val="single" w:sz="4" w:space="0" w:color="auto"/>
              <w:left w:val="nil"/>
              <w:bottom w:val="nil"/>
              <w:right w:val="nil"/>
            </w:tcBorders>
            <w:noWrap/>
            <w:vAlign w:val="bottom"/>
          </w:tcPr>
          <w:p w14:paraId="3061DFFD" w14:textId="77777777" w:rsidR="00885CA9" w:rsidRPr="00E86C13" w:rsidRDefault="00885CA9" w:rsidP="00926E1A">
            <w:pPr>
              <w:spacing w:after="0" w:line="480" w:lineRule="auto"/>
              <w:jc w:val="center"/>
              <w:rPr>
                <w:rFonts w:ascii="Times New Roman" w:hAnsi="Times New Roman" w:cs="Times New Roman"/>
                <w:b/>
                <w:bCs/>
                <w:sz w:val="20"/>
                <w:szCs w:val="20"/>
                <w:lang w:eastAsia="pt-BR"/>
              </w:rPr>
            </w:pPr>
            <w:r w:rsidRPr="00E86C13">
              <w:rPr>
                <w:rFonts w:ascii="Times New Roman" w:hAnsi="Times New Roman" w:cs="Times New Roman"/>
                <w:b/>
                <w:bCs/>
                <w:sz w:val="20"/>
                <w:szCs w:val="20"/>
                <w:lang w:eastAsia="pt-BR"/>
              </w:rPr>
              <w:t>56 cm³</w:t>
            </w:r>
          </w:p>
        </w:tc>
        <w:tc>
          <w:tcPr>
            <w:tcW w:w="1660" w:type="dxa"/>
            <w:vMerge/>
            <w:tcBorders>
              <w:left w:val="nil"/>
              <w:bottom w:val="single" w:sz="4" w:space="0" w:color="000000"/>
              <w:right w:val="nil"/>
            </w:tcBorders>
            <w:vAlign w:val="center"/>
          </w:tcPr>
          <w:p w14:paraId="35DAC3AE" w14:textId="77777777" w:rsidR="00885CA9" w:rsidRPr="00E86C13" w:rsidRDefault="00885CA9" w:rsidP="00926E1A">
            <w:pPr>
              <w:spacing w:after="0" w:line="480" w:lineRule="auto"/>
              <w:rPr>
                <w:rFonts w:ascii="Times New Roman" w:hAnsi="Times New Roman" w:cs="Times New Roman"/>
                <w:b/>
                <w:bCs/>
                <w:sz w:val="20"/>
                <w:szCs w:val="20"/>
                <w:lang w:eastAsia="pt-BR"/>
              </w:rPr>
            </w:pPr>
          </w:p>
        </w:tc>
        <w:tc>
          <w:tcPr>
            <w:tcW w:w="1547" w:type="dxa"/>
            <w:vMerge/>
            <w:tcBorders>
              <w:left w:val="nil"/>
              <w:bottom w:val="single" w:sz="4" w:space="0" w:color="000000"/>
              <w:right w:val="nil"/>
            </w:tcBorders>
            <w:vAlign w:val="center"/>
          </w:tcPr>
          <w:p w14:paraId="2491AABA" w14:textId="77777777" w:rsidR="00885CA9" w:rsidRPr="00E86C13" w:rsidRDefault="00885CA9" w:rsidP="00926E1A">
            <w:pPr>
              <w:spacing w:after="0" w:line="480" w:lineRule="auto"/>
              <w:rPr>
                <w:rFonts w:ascii="Times New Roman" w:hAnsi="Times New Roman" w:cs="Times New Roman"/>
                <w:b/>
                <w:bCs/>
                <w:sz w:val="20"/>
                <w:szCs w:val="20"/>
                <w:lang w:eastAsia="pt-BR"/>
              </w:rPr>
            </w:pPr>
          </w:p>
        </w:tc>
      </w:tr>
      <w:tr w:rsidR="00AB65E2" w:rsidRPr="00E86C13" w14:paraId="4AB723B6" w14:textId="77777777" w:rsidTr="00E86C13">
        <w:trPr>
          <w:trHeight w:val="315"/>
        </w:trPr>
        <w:tc>
          <w:tcPr>
            <w:tcW w:w="3187" w:type="dxa"/>
            <w:tcBorders>
              <w:top w:val="nil"/>
              <w:left w:val="nil"/>
              <w:bottom w:val="nil"/>
              <w:right w:val="nil"/>
            </w:tcBorders>
            <w:noWrap/>
            <w:vAlign w:val="bottom"/>
          </w:tcPr>
          <w:p w14:paraId="17C0450A"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180</w:t>
            </w:r>
          </w:p>
        </w:tc>
        <w:tc>
          <w:tcPr>
            <w:tcW w:w="1471" w:type="dxa"/>
            <w:tcBorders>
              <w:top w:val="single" w:sz="4" w:space="0" w:color="auto"/>
              <w:left w:val="nil"/>
              <w:bottom w:val="nil"/>
              <w:right w:val="nil"/>
            </w:tcBorders>
            <w:noWrap/>
            <w:vAlign w:val="bottom"/>
          </w:tcPr>
          <w:p w14:paraId="46255352" w14:textId="59F4F12B" w:rsidR="00AB65E2" w:rsidRPr="00E86C13" w:rsidRDefault="00AB65E2" w:rsidP="00073739">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0,20(</w:t>
            </w:r>
            <w:r w:rsidR="00073739" w:rsidRPr="00E86C13">
              <w:rPr>
                <w:rFonts w:ascii="Times New Roman" w:hAnsi="Times New Roman" w:cs="Times New Roman"/>
                <w:color w:val="000000"/>
                <w:sz w:val="20"/>
                <w:szCs w:val="20"/>
                <w:lang w:eastAsia="pt-BR"/>
              </w:rPr>
              <w:t>±</w:t>
            </w:r>
            <w:r w:rsidRPr="00E86C13">
              <w:rPr>
                <w:rFonts w:ascii="Times New Roman" w:hAnsi="Times New Roman" w:cs="Times New Roman"/>
                <w:sz w:val="20"/>
                <w:szCs w:val="20"/>
                <w:lang w:eastAsia="pt-BR"/>
              </w:rPr>
              <w:t>0,03)</w:t>
            </w:r>
          </w:p>
        </w:tc>
        <w:tc>
          <w:tcPr>
            <w:tcW w:w="1417" w:type="dxa"/>
            <w:tcBorders>
              <w:top w:val="single" w:sz="4" w:space="0" w:color="auto"/>
              <w:left w:val="nil"/>
              <w:bottom w:val="nil"/>
              <w:right w:val="nil"/>
            </w:tcBorders>
            <w:noWrap/>
            <w:vAlign w:val="bottom"/>
          </w:tcPr>
          <w:p w14:paraId="20FA5499" w14:textId="40AD7A39"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0,11</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0,03)</w:t>
            </w:r>
          </w:p>
        </w:tc>
        <w:tc>
          <w:tcPr>
            <w:tcW w:w="1660" w:type="dxa"/>
            <w:tcBorders>
              <w:top w:val="nil"/>
              <w:left w:val="nil"/>
              <w:bottom w:val="nil"/>
              <w:right w:val="nil"/>
            </w:tcBorders>
            <w:noWrap/>
            <w:vAlign w:val="bottom"/>
          </w:tcPr>
          <w:p w14:paraId="3E8C22F6"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4,867 (0,001)</w:t>
            </w:r>
          </w:p>
        </w:tc>
        <w:tc>
          <w:tcPr>
            <w:tcW w:w="1547" w:type="dxa"/>
            <w:tcBorders>
              <w:top w:val="nil"/>
              <w:left w:val="nil"/>
              <w:bottom w:val="nil"/>
              <w:right w:val="nil"/>
            </w:tcBorders>
            <w:noWrap/>
          </w:tcPr>
          <w:p w14:paraId="212605BF" w14:textId="123AEF29"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23,7 (0,001)</w:t>
            </w:r>
          </w:p>
        </w:tc>
      </w:tr>
      <w:tr w:rsidR="00AB65E2" w:rsidRPr="00E86C13" w14:paraId="7E13529C" w14:textId="77777777" w:rsidTr="00E86C13">
        <w:trPr>
          <w:trHeight w:val="315"/>
        </w:trPr>
        <w:tc>
          <w:tcPr>
            <w:tcW w:w="3187" w:type="dxa"/>
            <w:tcBorders>
              <w:top w:val="nil"/>
              <w:left w:val="nil"/>
              <w:bottom w:val="nil"/>
              <w:right w:val="nil"/>
            </w:tcBorders>
            <w:noWrap/>
            <w:vAlign w:val="bottom"/>
          </w:tcPr>
          <w:p w14:paraId="6EE1E737"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360</w:t>
            </w:r>
          </w:p>
        </w:tc>
        <w:tc>
          <w:tcPr>
            <w:tcW w:w="1471" w:type="dxa"/>
            <w:tcBorders>
              <w:top w:val="nil"/>
              <w:left w:val="nil"/>
              <w:bottom w:val="nil"/>
              <w:right w:val="nil"/>
            </w:tcBorders>
            <w:noWrap/>
            <w:vAlign w:val="bottom"/>
          </w:tcPr>
          <w:p w14:paraId="6B700A9C" w14:textId="62ED991E"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0,19</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0,04)</w:t>
            </w:r>
          </w:p>
        </w:tc>
        <w:tc>
          <w:tcPr>
            <w:tcW w:w="1417" w:type="dxa"/>
            <w:tcBorders>
              <w:top w:val="nil"/>
              <w:left w:val="nil"/>
              <w:bottom w:val="nil"/>
              <w:right w:val="nil"/>
            </w:tcBorders>
            <w:noWrap/>
            <w:vAlign w:val="bottom"/>
          </w:tcPr>
          <w:p w14:paraId="4453F696" w14:textId="2E7ED30F"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0,09</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0,02)</w:t>
            </w:r>
          </w:p>
        </w:tc>
        <w:tc>
          <w:tcPr>
            <w:tcW w:w="1660" w:type="dxa"/>
            <w:tcBorders>
              <w:top w:val="nil"/>
              <w:left w:val="nil"/>
              <w:bottom w:val="nil"/>
              <w:right w:val="nil"/>
            </w:tcBorders>
            <w:noWrap/>
            <w:vAlign w:val="bottom"/>
          </w:tcPr>
          <w:p w14:paraId="6427B254"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4,600 (0,002)</w:t>
            </w:r>
          </w:p>
        </w:tc>
        <w:tc>
          <w:tcPr>
            <w:tcW w:w="1547" w:type="dxa"/>
            <w:tcBorders>
              <w:top w:val="nil"/>
              <w:left w:val="nil"/>
              <w:bottom w:val="nil"/>
              <w:right w:val="nil"/>
            </w:tcBorders>
            <w:noWrap/>
          </w:tcPr>
          <w:p w14:paraId="61F1388D" w14:textId="07C1EC16"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21,2 (0,002)</w:t>
            </w:r>
          </w:p>
        </w:tc>
      </w:tr>
      <w:tr w:rsidR="00AB65E2" w:rsidRPr="00E86C13" w14:paraId="3406A3E2" w14:textId="77777777" w:rsidTr="00E86C13">
        <w:trPr>
          <w:trHeight w:val="315"/>
        </w:trPr>
        <w:tc>
          <w:tcPr>
            <w:tcW w:w="3187" w:type="dxa"/>
            <w:tcBorders>
              <w:top w:val="nil"/>
              <w:left w:val="nil"/>
              <w:bottom w:val="nil"/>
              <w:right w:val="nil"/>
            </w:tcBorders>
            <w:noWrap/>
            <w:vAlign w:val="bottom"/>
          </w:tcPr>
          <w:p w14:paraId="46551F43"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540</w:t>
            </w:r>
          </w:p>
        </w:tc>
        <w:tc>
          <w:tcPr>
            <w:tcW w:w="1471" w:type="dxa"/>
            <w:tcBorders>
              <w:top w:val="nil"/>
              <w:left w:val="nil"/>
              <w:bottom w:val="nil"/>
              <w:right w:val="nil"/>
            </w:tcBorders>
            <w:noWrap/>
            <w:vAlign w:val="bottom"/>
          </w:tcPr>
          <w:p w14:paraId="4A9D1918" w14:textId="296E74E5"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0,21</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0,06)</w:t>
            </w:r>
          </w:p>
        </w:tc>
        <w:tc>
          <w:tcPr>
            <w:tcW w:w="1417" w:type="dxa"/>
            <w:tcBorders>
              <w:top w:val="nil"/>
              <w:left w:val="nil"/>
              <w:bottom w:val="nil"/>
              <w:right w:val="nil"/>
            </w:tcBorders>
            <w:noWrap/>
            <w:vAlign w:val="bottom"/>
          </w:tcPr>
          <w:p w14:paraId="07D879B3" w14:textId="0054D16A"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0,08</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0,01)</w:t>
            </w:r>
          </w:p>
        </w:tc>
        <w:tc>
          <w:tcPr>
            <w:tcW w:w="1660" w:type="dxa"/>
            <w:tcBorders>
              <w:top w:val="nil"/>
              <w:left w:val="nil"/>
              <w:bottom w:val="nil"/>
              <w:right w:val="nil"/>
            </w:tcBorders>
            <w:noWrap/>
            <w:vAlign w:val="bottom"/>
          </w:tcPr>
          <w:p w14:paraId="16C1828D"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4,705 (0,002)</w:t>
            </w:r>
          </w:p>
        </w:tc>
        <w:tc>
          <w:tcPr>
            <w:tcW w:w="1547" w:type="dxa"/>
            <w:tcBorders>
              <w:top w:val="nil"/>
              <w:left w:val="nil"/>
              <w:bottom w:val="nil"/>
              <w:right w:val="nil"/>
            </w:tcBorders>
            <w:noWrap/>
          </w:tcPr>
          <w:p w14:paraId="18BA0962" w14:textId="4056A572"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22,1 (0,002)</w:t>
            </w:r>
          </w:p>
        </w:tc>
      </w:tr>
      <w:tr w:rsidR="00AB65E2" w:rsidRPr="00E86C13" w14:paraId="022FF9C2" w14:textId="77777777" w:rsidTr="00E86C13">
        <w:trPr>
          <w:trHeight w:val="315"/>
        </w:trPr>
        <w:tc>
          <w:tcPr>
            <w:tcW w:w="3187" w:type="dxa"/>
            <w:tcBorders>
              <w:top w:val="nil"/>
              <w:left w:val="nil"/>
              <w:bottom w:val="nil"/>
              <w:right w:val="nil"/>
            </w:tcBorders>
            <w:noWrap/>
            <w:vAlign w:val="bottom"/>
          </w:tcPr>
          <w:p w14:paraId="7DC9E02D"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720</w:t>
            </w:r>
          </w:p>
        </w:tc>
        <w:tc>
          <w:tcPr>
            <w:tcW w:w="1471" w:type="dxa"/>
            <w:tcBorders>
              <w:top w:val="nil"/>
              <w:left w:val="nil"/>
              <w:bottom w:val="nil"/>
              <w:right w:val="nil"/>
            </w:tcBorders>
            <w:noWrap/>
            <w:vAlign w:val="bottom"/>
          </w:tcPr>
          <w:p w14:paraId="44AA1EB3" w14:textId="401700B2"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0,13</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0,04)</w:t>
            </w:r>
          </w:p>
        </w:tc>
        <w:tc>
          <w:tcPr>
            <w:tcW w:w="1417" w:type="dxa"/>
            <w:tcBorders>
              <w:top w:val="nil"/>
              <w:left w:val="nil"/>
              <w:bottom w:val="nil"/>
              <w:right w:val="nil"/>
            </w:tcBorders>
            <w:noWrap/>
            <w:vAlign w:val="bottom"/>
          </w:tcPr>
          <w:p w14:paraId="4D6898B6" w14:textId="49D427E4"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0,09</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0,02)</w:t>
            </w:r>
          </w:p>
        </w:tc>
        <w:tc>
          <w:tcPr>
            <w:tcW w:w="1660" w:type="dxa"/>
            <w:tcBorders>
              <w:top w:val="nil"/>
              <w:left w:val="nil"/>
              <w:bottom w:val="nil"/>
              <w:right w:val="nil"/>
            </w:tcBorders>
            <w:noWrap/>
            <w:vAlign w:val="bottom"/>
          </w:tcPr>
          <w:p w14:paraId="40B7563C"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2,141 (0,065)</w:t>
            </w:r>
          </w:p>
        </w:tc>
        <w:tc>
          <w:tcPr>
            <w:tcW w:w="1547" w:type="dxa"/>
            <w:tcBorders>
              <w:top w:val="nil"/>
              <w:left w:val="nil"/>
              <w:bottom w:val="nil"/>
              <w:right w:val="nil"/>
            </w:tcBorders>
            <w:noWrap/>
          </w:tcPr>
          <w:p w14:paraId="547406A6" w14:textId="37A6850D"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4,58 (0,065)</w:t>
            </w:r>
          </w:p>
        </w:tc>
      </w:tr>
      <w:tr w:rsidR="00AB65E2" w:rsidRPr="00E86C13" w14:paraId="144629AF" w14:textId="77777777" w:rsidTr="00E86C13">
        <w:trPr>
          <w:trHeight w:val="315"/>
        </w:trPr>
        <w:tc>
          <w:tcPr>
            <w:tcW w:w="3187" w:type="dxa"/>
            <w:tcBorders>
              <w:top w:val="nil"/>
              <w:left w:val="nil"/>
              <w:bottom w:val="single" w:sz="4" w:space="0" w:color="auto"/>
              <w:right w:val="nil"/>
            </w:tcBorders>
            <w:noWrap/>
            <w:vAlign w:val="bottom"/>
          </w:tcPr>
          <w:p w14:paraId="058D26BA"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900</w:t>
            </w:r>
          </w:p>
        </w:tc>
        <w:tc>
          <w:tcPr>
            <w:tcW w:w="1471" w:type="dxa"/>
            <w:tcBorders>
              <w:top w:val="nil"/>
              <w:left w:val="nil"/>
              <w:bottom w:val="single" w:sz="4" w:space="0" w:color="auto"/>
              <w:right w:val="nil"/>
            </w:tcBorders>
            <w:noWrap/>
            <w:vAlign w:val="bottom"/>
          </w:tcPr>
          <w:p w14:paraId="1313573C" w14:textId="4F74D45D"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0,14</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0,06)</w:t>
            </w:r>
          </w:p>
        </w:tc>
        <w:tc>
          <w:tcPr>
            <w:tcW w:w="1417" w:type="dxa"/>
            <w:tcBorders>
              <w:top w:val="nil"/>
              <w:left w:val="nil"/>
              <w:bottom w:val="single" w:sz="4" w:space="0" w:color="auto"/>
              <w:right w:val="nil"/>
            </w:tcBorders>
            <w:noWrap/>
            <w:vAlign w:val="bottom"/>
          </w:tcPr>
          <w:p w14:paraId="680662F7" w14:textId="5B238BA6" w:rsidR="00AB65E2" w:rsidRPr="00E86C13" w:rsidRDefault="00073739"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0,10</w:t>
            </w:r>
            <w:r w:rsidR="00AB65E2" w:rsidRPr="00E86C13">
              <w:rPr>
                <w:rFonts w:ascii="Times New Roman" w:hAnsi="Times New Roman" w:cs="Times New Roman"/>
                <w:sz w:val="20"/>
                <w:szCs w:val="20"/>
                <w:lang w:eastAsia="pt-BR"/>
              </w:rPr>
              <w:t>(</w:t>
            </w:r>
            <w:r w:rsidRPr="00E86C13">
              <w:rPr>
                <w:rFonts w:ascii="Times New Roman" w:hAnsi="Times New Roman" w:cs="Times New Roman"/>
                <w:color w:val="000000"/>
                <w:sz w:val="20"/>
                <w:szCs w:val="20"/>
                <w:lang w:eastAsia="pt-BR"/>
              </w:rPr>
              <w:t>±</w:t>
            </w:r>
            <w:r w:rsidR="00AB65E2" w:rsidRPr="00E86C13">
              <w:rPr>
                <w:rFonts w:ascii="Times New Roman" w:hAnsi="Times New Roman" w:cs="Times New Roman"/>
                <w:sz w:val="20"/>
                <w:szCs w:val="20"/>
                <w:lang w:eastAsia="pt-BR"/>
              </w:rPr>
              <w:t>0,02)</w:t>
            </w:r>
          </w:p>
        </w:tc>
        <w:tc>
          <w:tcPr>
            <w:tcW w:w="1660" w:type="dxa"/>
            <w:tcBorders>
              <w:top w:val="nil"/>
              <w:left w:val="nil"/>
              <w:bottom w:val="single" w:sz="4" w:space="0" w:color="auto"/>
              <w:right w:val="nil"/>
            </w:tcBorders>
            <w:noWrap/>
            <w:vAlign w:val="bottom"/>
          </w:tcPr>
          <w:p w14:paraId="580F87F1" w14:textId="77777777"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eastAsia="pt-BR"/>
              </w:rPr>
              <w:t>1,575 (0,177)</w:t>
            </w:r>
          </w:p>
        </w:tc>
        <w:tc>
          <w:tcPr>
            <w:tcW w:w="1547" w:type="dxa"/>
            <w:tcBorders>
              <w:top w:val="nil"/>
              <w:left w:val="nil"/>
              <w:bottom w:val="single" w:sz="4" w:space="0" w:color="auto"/>
              <w:right w:val="nil"/>
            </w:tcBorders>
            <w:noWrap/>
          </w:tcPr>
          <w:p w14:paraId="66DF016A" w14:textId="4AB14FF5" w:rsidR="00AB65E2" w:rsidRPr="00E86C13" w:rsidRDefault="00AB65E2" w:rsidP="00926E1A">
            <w:pPr>
              <w:spacing w:after="0" w:line="480" w:lineRule="auto"/>
              <w:jc w:val="center"/>
              <w:rPr>
                <w:rFonts w:ascii="Times New Roman" w:hAnsi="Times New Roman" w:cs="Times New Roman"/>
                <w:sz w:val="20"/>
                <w:szCs w:val="20"/>
                <w:lang w:eastAsia="pt-BR"/>
              </w:rPr>
            </w:pPr>
            <w:r w:rsidRPr="00E86C13">
              <w:rPr>
                <w:rFonts w:ascii="Times New Roman" w:hAnsi="Times New Roman" w:cs="Times New Roman"/>
                <w:sz w:val="20"/>
                <w:szCs w:val="20"/>
                <w:lang w:val="en-US" w:eastAsia="pt-BR"/>
              </w:rPr>
              <w:t>2,48 (0,154)</w:t>
            </w:r>
          </w:p>
        </w:tc>
      </w:tr>
    </w:tbl>
    <w:p w14:paraId="62B9E0CF" w14:textId="4E5D4975" w:rsidR="00946126" w:rsidRPr="004F57DA" w:rsidRDefault="00FE339C" w:rsidP="00E24F82">
      <w:pPr>
        <w:spacing w:after="240" w:line="480" w:lineRule="auto"/>
        <w:jc w:val="both"/>
        <w:rPr>
          <w:rFonts w:ascii="Times New Roman" w:hAnsi="Times New Roman" w:cs="Times New Roman"/>
          <w:sz w:val="20"/>
          <w:szCs w:val="20"/>
        </w:rPr>
      </w:pPr>
      <w:r>
        <w:rPr>
          <w:rFonts w:ascii="Times New Roman" w:hAnsi="Times New Roman" w:cs="Times New Roman"/>
          <w:sz w:val="20"/>
          <w:szCs w:val="20"/>
        </w:rPr>
        <w:t xml:space="preserve">Em que: </w:t>
      </w:r>
      <w:r w:rsidR="00AB65E2" w:rsidRPr="004F57DA">
        <w:rPr>
          <w:rFonts w:ascii="Times New Roman" w:hAnsi="Times New Roman" w:cs="Times New Roman"/>
          <w:sz w:val="20"/>
          <w:szCs w:val="20"/>
        </w:rPr>
        <w:t>T – Estatística T para o teste de Welch; F – Estatística F da ANOVA</w:t>
      </w:r>
    </w:p>
    <w:p w14:paraId="36831C42" w14:textId="37954226" w:rsidR="009969DA" w:rsidRPr="00457618" w:rsidRDefault="001A0254"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Ao considerar </w:t>
      </w:r>
      <w:r w:rsidR="00946126" w:rsidRPr="00457618">
        <w:rPr>
          <w:rFonts w:ascii="Times New Roman" w:hAnsi="Times New Roman" w:cs="Times New Roman"/>
          <w:sz w:val="24"/>
          <w:szCs w:val="24"/>
        </w:rPr>
        <w:t xml:space="preserve">as quatro espécies avaliadas, o tubete de 120 cm³ foi o recipiente que promoveu os maiores Índices de Qualidade de Dickson, ainda que variadas as concentrações </w:t>
      </w:r>
      <w:r w:rsidR="00FF653C" w:rsidRPr="00457618">
        <w:rPr>
          <w:rFonts w:ascii="Times New Roman" w:hAnsi="Times New Roman" w:cs="Times New Roman"/>
          <w:sz w:val="24"/>
          <w:szCs w:val="24"/>
        </w:rPr>
        <w:t>de P</w:t>
      </w:r>
      <w:r w:rsidR="00FF653C" w:rsidRPr="00457618">
        <w:rPr>
          <w:rFonts w:ascii="Times New Roman" w:hAnsi="Times New Roman" w:cs="Times New Roman"/>
          <w:sz w:val="24"/>
          <w:szCs w:val="24"/>
          <w:vertAlign w:val="subscript"/>
        </w:rPr>
        <w:t>2</w:t>
      </w:r>
      <w:r w:rsidR="00FF653C" w:rsidRPr="00457618">
        <w:rPr>
          <w:rFonts w:ascii="Times New Roman" w:hAnsi="Times New Roman" w:cs="Times New Roman"/>
          <w:sz w:val="24"/>
          <w:szCs w:val="24"/>
        </w:rPr>
        <w:t>O</w:t>
      </w:r>
      <w:r w:rsidR="00FF653C" w:rsidRPr="00457618">
        <w:rPr>
          <w:rFonts w:ascii="Times New Roman" w:hAnsi="Times New Roman" w:cs="Times New Roman"/>
          <w:sz w:val="24"/>
          <w:szCs w:val="24"/>
          <w:vertAlign w:val="subscript"/>
        </w:rPr>
        <w:t>5</w:t>
      </w:r>
      <w:r w:rsidR="00946126" w:rsidRPr="00457618">
        <w:rPr>
          <w:rFonts w:ascii="Times New Roman" w:hAnsi="Times New Roman" w:cs="Times New Roman"/>
          <w:sz w:val="24"/>
          <w:szCs w:val="24"/>
        </w:rPr>
        <w:t>.</w:t>
      </w:r>
      <w:r w:rsidR="00FF653C" w:rsidRPr="00457618">
        <w:rPr>
          <w:rFonts w:ascii="Times New Roman" w:hAnsi="Times New Roman" w:cs="Times New Roman"/>
          <w:sz w:val="24"/>
          <w:szCs w:val="24"/>
        </w:rPr>
        <w:t xml:space="preserve"> </w:t>
      </w:r>
      <w:r w:rsidR="009969DA" w:rsidRPr="00457618">
        <w:rPr>
          <w:rFonts w:ascii="Times New Roman" w:hAnsi="Times New Roman" w:cs="Times New Roman"/>
          <w:sz w:val="24"/>
          <w:szCs w:val="24"/>
        </w:rPr>
        <w:t xml:space="preserve">Os resultados sugerem que recipientes de maiores dimensões proporcionam uma melhor </w:t>
      </w:r>
      <w:r w:rsidR="009969DA" w:rsidRPr="00457618">
        <w:rPr>
          <w:rFonts w:ascii="Times New Roman" w:hAnsi="Times New Roman" w:cs="Times New Roman"/>
          <w:sz w:val="24"/>
          <w:szCs w:val="24"/>
        </w:rPr>
        <w:lastRenderedPageBreak/>
        <w:t xml:space="preserve">relação entre a parte aérea e a parte radicular das mudas de espécies florestais nativas. </w:t>
      </w:r>
      <w:r w:rsidR="00845F4E">
        <w:rPr>
          <w:rFonts w:ascii="Times New Roman" w:hAnsi="Times New Roman" w:cs="Times New Roman"/>
          <w:sz w:val="24"/>
          <w:szCs w:val="24"/>
        </w:rPr>
        <w:t>Ferraz e</w:t>
      </w:r>
      <w:r w:rsidR="009969DA" w:rsidRPr="00457618">
        <w:rPr>
          <w:rFonts w:ascii="Times New Roman" w:hAnsi="Times New Roman" w:cs="Times New Roman"/>
          <w:sz w:val="24"/>
          <w:szCs w:val="24"/>
        </w:rPr>
        <w:t xml:space="preserve"> Engel (2011) corroboram esta ideia ao afirmarem que maiores Índices de Qualidade de Dickson são obtidos quando são utilizados tubetes com maior dimensão. </w:t>
      </w:r>
      <w:r w:rsidR="00963DAC" w:rsidRPr="00457618">
        <w:rPr>
          <w:rFonts w:ascii="Times New Roman" w:hAnsi="Times New Roman" w:cs="Times New Roman"/>
          <w:sz w:val="24"/>
          <w:szCs w:val="24"/>
        </w:rPr>
        <w:t>Estes recipientes</w:t>
      </w:r>
      <w:r w:rsidR="003A745D" w:rsidRPr="00457618">
        <w:rPr>
          <w:rFonts w:ascii="Times New Roman" w:hAnsi="Times New Roman" w:cs="Times New Roman"/>
          <w:sz w:val="24"/>
          <w:szCs w:val="24"/>
        </w:rPr>
        <w:t xml:space="preserve"> dispõem de mais espaço para o crescimento do sistema radicular, o que é evidenciado, principalmente, no crescimento da parte aérea das mudas e, consequentemente em uma relação mais equilibrada entre a parte radicular e a parte aérea. </w:t>
      </w:r>
      <w:r w:rsidR="009969DA" w:rsidRPr="00457618">
        <w:rPr>
          <w:rFonts w:ascii="Times New Roman" w:hAnsi="Times New Roman" w:cs="Times New Roman"/>
          <w:sz w:val="24"/>
          <w:szCs w:val="24"/>
        </w:rPr>
        <w:t xml:space="preserve">Schwengber et al. (2002) observaram que os recipientes com maior volume favoreciam não só o desenvolvimento em comprimento, mas também melhor distribuição espacial das raízes. Leles et al. (2006) relatam que mudas de </w:t>
      </w:r>
      <w:r w:rsidR="009969DA" w:rsidRPr="00457618">
        <w:rPr>
          <w:rFonts w:ascii="Times New Roman" w:hAnsi="Times New Roman" w:cs="Times New Roman"/>
          <w:i/>
          <w:sz w:val="24"/>
          <w:szCs w:val="24"/>
        </w:rPr>
        <w:t>Anadenanthera macrocarpa</w:t>
      </w:r>
      <w:r w:rsidR="009969DA" w:rsidRPr="00457618">
        <w:rPr>
          <w:rFonts w:ascii="Times New Roman" w:hAnsi="Times New Roman" w:cs="Times New Roman"/>
          <w:sz w:val="24"/>
          <w:szCs w:val="24"/>
        </w:rPr>
        <w:t xml:space="preserve">, </w:t>
      </w:r>
      <w:r w:rsidR="009969DA" w:rsidRPr="00457618">
        <w:rPr>
          <w:rFonts w:ascii="Times New Roman" w:hAnsi="Times New Roman" w:cs="Times New Roman"/>
          <w:i/>
          <w:sz w:val="24"/>
          <w:szCs w:val="24"/>
        </w:rPr>
        <w:t>Schinus terebinthifolius</w:t>
      </w:r>
      <w:r w:rsidR="009969DA" w:rsidRPr="00457618">
        <w:rPr>
          <w:rFonts w:ascii="Times New Roman" w:hAnsi="Times New Roman" w:cs="Times New Roman"/>
          <w:sz w:val="24"/>
          <w:szCs w:val="24"/>
        </w:rPr>
        <w:t xml:space="preserve">, </w:t>
      </w:r>
      <w:r w:rsidR="009969DA" w:rsidRPr="00457618">
        <w:rPr>
          <w:rFonts w:ascii="Times New Roman" w:hAnsi="Times New Roman" w:cs="Times New Roman"/>
          <w:i/>
          <w:sz w:val="24"/>
          <w:szCs w:val="24"/>
        </w:rPr>
        <w:t>Cedrela fissilis</w:t>
      </w:r>
      <w:r w:rsidR="009969DA" w:rsidRPr="00457618">
        <w:rPr>
          <w:rFonts w:ascii="Times New Roman" w:hAnsi="Times New Roman" w:cs="Times New Roman"/>
          <w:sz w:val="24"/>
          <w:szCs w:val="24"/>
        </w:rPr>
        <w:t xml:space="preserve"> e </w:t>
      </w:r>
      <w:r w:rsidR="009969DA" w:rsidRPr="00457618">
        <w:rPr>
          <w:rFonts w:ascii="Times New Roman" w:hAnsi="Times New Roman" w:cs="Times New Roman"/>
          <w:i/>
          <w:sz w:val="24"/>
          <w:szCs w:val="24"/>
        </w:rPr>
        <w:t>Ceiba speciosa</w:t>
      </w:r>
      <w:r w:rsidR="009969DA" w:rsidRPr="00457618">
        <w:rPr>
          <w:rFonts w:ascii="Times New Roman" w:hAnsi="Times New Roman" w:cs="Times New Roman"/>
          <w:sz w:val="24"/>
          <w:szCs w:val="24"/>
        </w:rPr>
        <w:t xml:space="preserve"> produzidas nos tubetes de maiores volumes apresentaram </w:t>
      </w:r>
      <w:r w:rsidR="00F868F3" w:rsidRPr="00457618">
        <w:rPr>
          <w:rFonts w:ascii="Times New Roman" w:hAnsi="Times New Roman" w:cs="Times New Roman"/>
          <w:sz w:val="24"/>
          <w:szCs w:val="24"/>
        </w:rPr>
        <w:t>maiores valores de Í</w:t>
      </w:r>
      <w:r w:rsidR="009969DA" w:rsidRPr="00457618">
        <w:rPr>
          <w:rFonts w:ascii="Times New Roman" w:hAnsi="Times New Roman" w:cs="Times New Roman"/>
          <w:sz w:val="24"/>
          <w:szCs w:val="24"/>
        </w:rPr>
        <w:t xml:space="preserve">ndice de </w:t>
      </w:r>
      <w:r w:rsidR="00F868F3" w:rsidRPr="00457618">
        <w:rPr>
          <w:rFonts w:ascii="Times New Roman" w:hAnsi="Times New Roman" w:cs="Times New Roman"/>
          <w:sz w:val="24"/>
          <w:szCs w:val="24"/>
        </w:rPr>
        <w:t>Q</w:t>
      </w:r>
      <w:r w:rsidR="009969DA" w:rsidRPr="00457618">
        <w:rPr>
          <w:rFonts w:ascii="Times New Roman" w:hAnsi="Times New Roman" w:cs="Times New Roman"/>
          <w:sz w:val="24"/>
          <w:szCs w:val="24"/>
        </w:rPr>
        <w:t>ualidade de Dickson.</w:t>
      </w:r>
    </w:p>
    <w:p w14:paraId="0868BF44" w14:textId="547152C3" w:rsidR="0021068C" w:rsidRPr="00457618" w:rsidRDefault="003A745D" w:rsidP="00926E1A">
      <w:pPr>
        <w:spacing w:after="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No que concerne à utilização de fertilizante fosfatado, p</w:t>
      </w:r>
      <w:r w:rsidR="00FF653C" w:rsidRPr="00457618">
        <w:rPr>
          <w:rFonts w:ascii="Times New Roman" w:hAnsi="Times New Roman" w:cs="Times New Roman"/>
          <w:sz w:val="24"/>
          <w:szCs w:val="24"/>
        </w:rPr>
        <w:t xml:space="preserve">ara </w:t>
      </w:r>
      <w:r w:rsidR="00946126" w:rsidRPr="00457618">
        <w:rPr>
          <w:rFonts w:ascii="Times New Roman" w:hAnsi="Times New Roman" w:cs="Times New Roman"/>
          <w:i/>
          <w:iCs/>
          <w:sz w:val="24"/>
          <w:szCs w:val="24"/>
        </w:rPr>
        <w:t>C.</w:t>
      </w:r>
      <w:r w:rsidR="00282085" w:rsidRPr="00457618">
        <w:rPr>
          <w:rFonts w:ascii="Times New Roman" w:hAnsi="Times New Roman" w:cs="Times New Roman"/>
          <w:i/>
          <w:iCs/>
          <w:sz w:val="24"/>
          <w:szCs w:val="24"/>
        </w:rPr>
        <w:t xml:space="preserve"> </w:t>
      </w:r>
      <w:r w:rsidR="00946126" w:rsidRPr="00457618">
        <w:rPr>
          <w:rFonts w:ascii="Times New Roman" w:hAnsi="Times New Roman" w:cs="Times New Roman"/>
          <w:i/>
          <w:iCs/>
          <w:sz w:val="24"/>
          <w:szCs w:val="24"/>
        </w:rPr>
        <w:t>speciosa</w:t>
      </w:r>
      <w:r w:rsidR="00A020F3" w:rsidRPr="00457618">
        <w:rPr>
          <w:rFonts w:ascii="Times New Roman" w:hAnsi="Times New Roman" w:cs="Times New Roman"/>
          <w:i/>
          <w:iCs/>
          <w:sz w:val="24"/>
          <w:szCs w:val="24"/>
        </w:rPr>
        <w:t xml:space="preserve"> </w:t>
      </w:r>
      <w:r w:rsidR="00946126" w:rsidRPr="00457618">
        <w:rPr>
          <w:rFonts w:ascii="Times New Roman" w:hAnsi="Times New Roman" w:cs="Times New Roman"/>
          <w:sz w:val="24"/>
          <w:szCs w:val="24"/>
        </w:rPr>
        <w:t xml:space="preserve">e </w:t>
      </w:r>
      <w:r w:rsidR="00946126" w:rsidRPr="00457618">
        <w:rPr>
          <w:rFonts w:ascii="Times New Roman" w:hAnsi="Times New Roman" w:cs="Times New Roman"/>
          <w:i/>
          <w:iCs/>
          <w:sz w:val="24"/>
          <w:szCs w:val="24"/>
        </w:rPr>
        <w:t>S.</w:t>
      </w:r>
      <w:r w:rsidR="00282085" w:rsidRPr="00457618">
        <w:rPr>
          <w:rFonts w:ascii="Times New Roman" w:hAnsi="Times New Roman" w:cs="Times New Roman"/>
          <w:i/>
          <w:iCs/>
          <w:sz w:val="24"/>
          <w:szCs w:val="24"/>
        </w:rPr>
        <w:t xml:space="preserve"> </w:t>
      </w:r>
      <w:r w:rsidR="00946126" w:rsidRPr="00457618">
        <w:rPr>
          <w:rFonts w:ascii="Times New Roman" w:hAnsi="Times New Roman" w:cs="Times New Roman"/>
          <w:i/>
          <w:iCs/>
          <w:sz w:val="24"/>
          <w:szCs w:val="24"/>
        </w:rPr>
        <w:t>terebintifolius</w:t>
      </w:r>
      <w:r w:rsidR="00FF653C" w:rsidRPr="00457618">
        <w:rPr>
          <w:rFonts w:ascii="Times New Roman" w:hAnsi="Times New Roman" w:cs="Times New Roman"/>
          <w:sz w:val="24"/>
          <w:szCs w:val="24"/>
        </w:rPr>
        <w:t xml:space="preserve"> </w:t>
      </w:r>
      <w:r w:rsidR="00946126" w:rsidRPr="00457618">
        <w:rPr>
          <w:rFonts w:ascii="Times New Roman" w:hAnsi="Times New Roman" w:cs="Times New Roman"/>
          <w:sz w:val="24"/>
          <w:szCs w:val="24"/>
        </w:rPr>
        <w:t>a concentração mínima utilizada (180 g de</w:t>
      </w:r>
      <w:r w:rsidR="00A020F3" w:rsidRPr="00457618">
        <w:rPr>
          <w:rFonts w:ascii="Times New Roman" w:hAnsi="Times New Roman" w:cs="Times New Roman"/>
          <w:sz w:val="24"/>
          <w:szCs w:val="24"/>
        </w:rPr>
        <w:t xml:space="preserve"> </w:t>
      </w:r>
      <w:r w:rsidR="00946126" w:rsidRPr="00457618">
        <w:rPr>
          <w:rFonts w:ascii="Times New Roman" w:hAnsi="Times New Roman" w:cs="Times New Roman"/>
          <w:sz w:val="24"/>
          <w:szCs w:val="24"/>
        </w:rPr>
        <w:t>P</w:t>
      </w:r>
      <w:r w:rsidR="00946126" w:rsidRPr="00457618">
        <w:rPr>
          <w:rFonts w:ascii="Times New Roman" w:hAnsi="Times New Roman" w:cs="Times New Roman"/>
          <w:sz w:val="24"/>
          <w:szCs w:val="24"/>
          <w:vertAlign w:val="subscript"/>
        </w:rPr>
        <w:t>2</w:t>
      </w:r>
      <w:r w:rsidR="00946126" w:rsidRPr="00457618">
        <w:rPr>
          <w:rFonts w:ascii="Times New Roman" w:hAnsi="Times New Roman" w:cs="Times New Roman"/>
          <w:sz w:val="24"/>
          <w:szCs w:val="24"/>
        </w:rPr>
        <w:t>O</w:t>
      </w:r>
      <w:r w:rsidR="00946126" w:rsidRPr="00457618">
        <w:rPr>
          <w:rFonts w:ascii="Times New Roman" w:hAnsi="Times New Roman" w:cs="Times New Roman"/>
          <w:sz w:val="24"/>
          <w:szCs w:val="24"/>
          <w:vertAlign w:val="subscript"/>
        </w:rPr>
        <w:t>5</w:t>
      </w:r>
      <w:r w:rsidR="00946126" w:rsidRPr="00457618">
        <w:rPr>
          <w:rFonts w:ascii="Times New Roman" w:hAnsi="Times New Roman" w:cs="Times New Roman"/>
          <w:sz w:val="24"/>
          <w:szCs w:val="24"/>
        </w:rPr>
        <w:t xml:space="preserve">/m³) </w:t>
      </w:r>
      <w:r w:rsidR="00FF653C" w:rsidRPr="00457618">
        <w:rPr>
          <w:rFonts w:ascii="Times New Roman" w:hAnsi="Times New Roman" w:cs="Times New Roman"/>
          <w:sz w:val="24"/>
          <w:szCs w:val="24"/>
        </w:rPr>
        <w:t>foi suficiente para indicar</w:t>
      </w:r>
      <w:r w:rsidR="00946126" w:rsidRPr="00457618">
        <w:rPr>
          <w:rFonts w:ascii="Times New Roman" w:hAnsi="Times New Roman" w:cs="Times New Roman"/>
          <w:sz w:val="24"/>
          <w:szCs w:val="24"/>
        </w:rPr>
        <w:t xml:space="preserve"> </w:t>
      </w:r>
      <w:r w:rsidR="00FF653C" w:rsidRPr="00457618">
        <w:rPr>
          <w:rFonts w:ascii="Times New Roman" w:hAnsi="Times New Roman" w:cs="Times New Roman"/>
          <w:sz w:val="24"/>
          <w:szCs w:val="24"/>
        </w:rPr>
        <w:t>o recipiente ótimo de produção</w:t>
      </w:r>
      <w:r w:rsidR="00946126" w:rsidRPr="00457618">
        <w:rPr>
          <w:rFonts w:ascii="Times New Roman" w:hAnsi="Times New Roman" w:cs="Times New Roman"/>
          <w:sz w:val="24"/>
          <w:szCs w:val="24"/>
        </w:rPr>
        <w:t>, com IQD de 0,31 e 0,20, respectivamente.</w:t>
      </w:r>
      <w:r w:rsidR="00984FFC" w:rsidRPr="00457618">
        <w:rPr>
          <w:rFonts w:ascii="Times New Roman" w:hAnsi="Times New Roman" w:cs="Times New Roman"/>
          <w:sz w:val="24"/>
          <w:szCs w:val="24"/>
        </w:rPr>
        <w:t xml:space="preserve"> </w:t>
      </w:r>
      <w:r w:rsidR="004B04E1" w:rsidRPr="00457618">
        <w:rPr>
          <w:rFonts w:ascii="Times New Roman" w:hAnsi="Times New Roman" w:cs="Times New Roman"/>
          <w:sz w:val="24"/>
          <w:szCs w:val="24"/>
        </w:rPr>
        <w:t>Já para</w:t>
      </w:r>
      <w:r w:rsidR="004B04E1" w:rsidRPr="00457618">
        <w:rPr>
          <w:rFonts w:ascii="Times New Roman" w:hAnsi="Times New Roman" w:cs="Times New Roman"/>
          <w:i/>
          <w:iCs/>
          <w:sz w:val="24"/>
          <w:szCs w:val="24"/>
        </w:rPr>
        <w:t xml:space="preserve"> S. </w:t>
      </w:r>
      <w:r w:rsidR="00FE55E1" w:rsidRPr="00457618">
        <w:rPr>
          <w:rFonts w:ascii="Times New Roman" w:hAnsi="Times New Roman" w:cs="Times New Roman"/>
          <w:i/>
          <w:iCs/>
          <w:sz w:val="24"/>
          <w:szCs w:val="24"/>
        </w:rPr>
        <w:t>sapona</w:t>
      </w:r>
      <w:r w:rsidR="004B04E1" w:rsidRPr="00457618">
        <w:rPr>
          <w:rFonts w:ascii="Times New Roman" w:hAnsi="Times New Roman" w:cs="Times New Roman"/>
          <w:i/>
          <w:iCs/>
          <w:sz w:val="24"/>
          <w:szCs w:val="24"/>
        </w:rPr>
        <w:t xml:space="preserve">ria </w:t>
      </w:r>
      <w:r w:rsidR="004B04E1" w:rsidRPr="00457618">
        <w:rPr>
          <w:rFonts w:ascii="Times New Roman" w:hAnsi="Times New Roman" w:cs="Times New Roman"/>
          <w:iCs/>
          <w:sz w:val="24"/>
          <w:szCs w:val="24"/>
        </w:rPr>
        <w:t>e</w:t>
      </w:r>
      <w:r w:rsidR="004B04E1" w:rsidRPr="00457618">
        <w:rPr>
          <w:rFonts w:ascii="Times New Roman" w:hAnsi="Times New Roman" w:cs="Times New Roman"/>
          <w:i/>
          <w:iCs/>
          <w:sz w:val="24"/>
          <w:szCs w:val="24"/>
        </w:rPr>
        <w:t xml:space="preserve"> </w:t>
      </w:r>
      <w:r w:rsidR="00FE55E1" w:rsidRPr="00457618">
        <w:rPr>
          <w:rFonts w:ascii="Times New Roman" w:hAnsi="Times New Roman" w:cs="Times New Roman"/>
          <w:i/>
          <w:iCs/>
          <w:sz w:val="24"/>
          <w:szCs w:val="24"/>
        </w:rPr>
        <w:t>G. ulmifolia</w:t>
      </w:r>
      <w:r w:rsidR="00C7110A" w:rsidRPr="00457618">
        <w:rPr>
          <w:rFonts w:ascii="Times New Roman" w:hAnsi="Times New Roman" w:cs="Times New Roman"/>
          <w:iCs/>
          <w:sz w:val="24"/>
          <w:szCs w:val="24"/>
        </w:rPr>
        <w:t xml:space="preserve"> a concentração de 360 </w:t>
      </w:r>
      <w:r w:rsidR="00C7110A" w:rsidRPr="00457618">
        <w:rPr>
          <w:rFonts w:ascii="Times New Roman" w:hAnsi="Times New Roman" w:cs="Times New Roman"/>
          <w:sz w:val="24"/>
          <w:szCs w:val="24"/>
        </w:rPr>
        <w:t>g de P</w:t>
      </w:r>
      <w:r w:rsidR="00C7110A" w:rsidRPr="00457618">
        <w:rPr>
          <w:rFonts w:ascii="Times New Roman" w:hAnsi="Times New Roman" w:cs="Times New Roman"/>
          <w:sz w:val="24"/>
          <w:szCs w:val="24"/>
          <w:vertAlign w:val="subscript"/>
        </w:rPr>
        <w:t>2</w:t>
      </w:r>
      <w:r w:rsidR="00C7110A" w:rsidRPr="00457618">
        <w:rPr>
          <w:rFonts w:ascii="Times New Roman" w:hAnsi="Times New Roman" w:cs="Times New Roman"/>
          <w:sz w:val="24"/>
          <w:szCs w:val="24"/>
        </w:rPr>
        <w:t>O</w:t>
      </w:r>
      <w:r w:rsidR="00C7110A" w:rsidRPr="00457618">
        <w:rPr>
          <w:rFonts w:ascii="Times New Roman" w:hAnsi="Times New Roman" w:cs="Times New Roman"/>
          <w:sz w:val="24"/>
          <w:szCs w:val="24"/>
          <w:vertAlign w:val="subscript"/>
        </w:rPr>
        <w:t>5</w:t>
      </w:r>
      <w:r w:rsidR="00C7110A" w:rsidRPr="00457618">
        <w:rPr>
          <w:rFonts w:ascii="Times New Roman" w:hAnsi="Times New Roman" w:cs="Times New Roman"/>
          <w:sz w:val="24"/>
          <w:szCs w:val="24"/>
        </w:rPr>
        <w:t xml:space="preserve">/m³ foi a concentração mínima que evidenciou o recipiente </w:t>
      </w:r>
      <w:r w:rsidR="0021068C" w:rsidRPr="00457618">
        <w:rPr>
          <w:rFonts w:ascii="Times New Roman" w:hAnsi="Times New Roman" w:cs="Times New Roman"/>
          <w:sz w:val="24"/>
          <w:szCs w:val="24"/>
        </w:rPr>
        <w:t>ótimo.</w:t>
      </w:r>
      <w:r w:rsidRPr="00457618">
        <w:rPr>
          <w:rFonts w:ascii="Times New Roman" w:hAnsi="Times New Roman" w:cs="Times New Roman"/>
          <w:sz w:val="24"/>
          <w:szCs w:val="24"/>
        </w:rPr>
        <w:t xml:space="preserve"> </w:t>
      </w:r>
      <w:r w:rsidR="008164B3" w:rsidRPr="00457618">
        <w:rPr>
          <w:rFonts w:ascii="Times New Roman" w:hAnsi="Times New Roman" w:cs="Times New Roman"/>
          <w:sz w:val="24"/>
          <w:szCs w:val="24"/>
        </w:rPr>
        <w:t>A</w:t>
      </w:r>
      <w:r w:rsidR="00B16DD6" w:rsidRPr="00457618">
        <w:rPr>
          <w:rFonts w:ascii="Times New Roman" w:hAnsi="Times New Roman" w:cs="Times New Roman"/>
          <w:sz w:val="24"/>
          <w:szCs w:val="24"/>
        </w:rPr>
        <w:t>s espécies do grupo ecológico clímax</w:t>
      </w:r>
      <w:r w:rsidR="003A2AA8" w:rsidRPr="00457618">
        <w:rPr>
          <w:rFonts w:ascii="Times New Roman" w:hAnsi="Times New Roman" w:cs="Times New Roman"/>
          <w:sz w:val="24"/>
          <w:szCs w:val="24"/>
        </w:rPr>
        <w:t xml:space="preserve">, </w:t>
      </w:r>
      <w:r w:rsidR="003A2AA8" w:rsidRPr="00457618">
        <w:rPr>
          <w:rFonts w:ascii="Times New Roman" w:hAnsi="Times New Roman" w:cs="Times New Roman"/>
          <w:i/>
          <w:iCs/>
          <w:sz w:val="24"/>
          <w:szCs w:val="24"/>
        </w:rPr>
        <w:t xml:space="preserve">S. </w:t>
      </w:r>
      <w:r w:rsidR="00282085" w:rsidRPr="00457618">
        <w:rPr>
          <w:rFonts w:ascii="Times New Roman" w:hAnsi="Times New Roman" w:cs="Times New Roman"/>
          <w:i/>
          <w:iCs/>
          <w:sz w:val="24"/>
          <w:szCs w:val="24"/>
        </w:rPr>
        <w:t>sapona</w:t>
      </w:r>
      <w:r w:rsidR="003A2AA8" w:rsidRPr="00457618">
        <w:rPr>
          <w:rFonts w:ascii="Times New Roman" w:hAnsi="Times New Roman" w:cs="Times New Roman"/>
          <w:i/>
          <w:iCs/>
          <w:sz w:val="24"/>
          <w:szCs w:val="24"/>
        </w:rPr>
        <w:t xml:space="preserve">ria </w:t>
      </w:r>
      <w:r w:rsidR="003A2AA8" w:rsidRPr="00457618">
        <w:rPr>
          <w:rFonts w:ascii="Times New Roman" w:hAnsi="Times New Roman" w:cs="Times New Roman"/>
          <w:iCs/>
          <w:sz w:val="24"/>
          <w:szCs w:val="24"/>
        </w:rPr>
        <w:t>e</w:t>
      </w:r>
      <w:r w:rsidR="008164B3" w:rsidRPr="00457618">
        <w:rPr>
          <w:rFonts w:ascii="Times New Roman" w:hAnsi="Times New Roman" w:cs="Times New Roman"/>
          <w:sz w:val="24"/>
          <w:szCs w:val="24"/>
        </w:rPr>
        <w:t xml:space="preserve"> </w:t>
      </w:r>
      <w:r w:rsidR="003A2AA8" w:rsidRPr="00457618">
        <w:rPr>
          <w:rFonts w:ascii="Times New Roman" w:hAnsi="Times New Roman" w:cs="Times New Roman"/>
          <w:i/>
          <w:iCs/>
          <w:sz w:val="24"/>
          <w:szCs w:val="24"/>
        </w:rPr>
        <w:t>C.</w:t>
      </w:r>
      <w:r w:rsidR="00282085" w:rsidRPr="00457618">
        <w:rPr>
          <w:rFonts w:ascii="Times New Roman" w:hAnsi="Times New Roman" w:cs="Times New Roman"/>
          <w:i/>
          <w:iCs/>
          <w:sz w:val="24"/>
          <w:szCs w:val="24"/>
        </w:rPr>
        <w:t xml:space="preserve"> </w:t>
      </w:r>
      <w:r w:rsidR="003A2AA8" w:rsidRPr="00457618">
        <w:rPr>
          <w:rFonts w:ascii="Times New Roman" w:hAnsi="Times New Roman" w:cs="Times New Roman"/>
          <w:i/>
          <w:iCs/>
          <w:sz w:val="24"/>
          <w:szCs w:val="24"/>
        </w:rPr>
        <w:t>speciosa</w:t>
      </w:r>
      <w:r w:rsidR="003A2AA8" w:rsidRPr="00457618">
        <w:rPr>
          <w:rFonts w:ascii="Times New Roman" w:hAnsi="Times New Roman" w:cs="Times New Roman"/>
          <w:iCs/>
          <w:sz w:val="24"/>
          <w:szCs w:val="24"/>
        </w:rPr>
        <w:t>,</w:t>
      </w:r>
      <w:r w:rsidR="003A2AA8" w:rsidRPr="00457618">
        <w:rPr>
          <w:rFonts w:ascii="Times New Roman" w:hAnsi="Times New Roman" w:cs="Times New Roman"/>
          <w:sz w:val="24"/>
          <w:szCs w:val="24"/>
        </w:rPr>
        <w:t xml:space="preserve"> </w:t>
      </w:r>
      <w:r w:rsidR="008164B3" w:rsidRPr="00457618">
        <w:rPr>
          <w:rFonts w:ascii="Times New Roman" w:hAnsi="Times New Roman" w:cs="Times New Roman"/>
          <w:sz w:val="24"/>
          <w:szCs w:val="24"/>
        </w:rPr>
        <w:t>obtiveram os maiores valores de IQD quando da aplicação da concentração de 720 g de P</w:t>
      </w:r>
      <w:r w:rsidR="008164B3" w:rsidRPr="00457618">
        <w:rPr>
          <w:rFonts w:ascii="Times New Roman" w:hAnsi="Times New Roman" w:cs="Times New Roman"/>
          <w:sz w:val="24"/>
          <w:szCs w:val="24"/>
          <w:vertAlign w:val="subscript"/>
        </w:rPr>
        <w:t>2</w:t>
      </w:r>
      <w:r w:rsidR="008164B3" w:rsidRPr="00457618">
        <w:rPr>
          <w:rFonts w:ascii="Times New Roman" w:hAnsi="Times New Roman" w:cs="Times New Roman"/>
          <w:sz w:val="24"/>
          <w:szCs w:val="24"/>
        </w:rPr>
        <w:t>O</w:t>
      </w:r>
      <w:r w:rsidR="008164B3" w:rsidRPr="00457618">
        <w:rPr>
          <w:rFonts w:ascii="Times New Roman" w:hAnsi="Times New Roman" w:cs="Times New Roman"/>
          <w:sz w:val="24"/>
          <w:szCs w:val="24"/>
          <w:vertAlign w:val="subscript"/>
        </w:rPr>
        <w:t>5</w:t>
      </w:r>
      <w:r w:rsidR="008164B3" w:rsidRPr="00457618">
        <w:rPr>
          <w:rFonts w:ascii="Times New Roman" w:hAnsi="Times New Roman" w:cs="Times New Roman"/>
          <w:sz w:val="24"/>
          <w:szCs w:val="24"/>
        </w:rPr>
        <w:t>/m³</w:t>
      </w:r>
      <w:r w:rsidR="003A2AA8" w:rsidRPr="00457618">
        <w:rPr>
          <w:rFonts w:ascii="Times New Roman" w:hAnsi="Times New Roman" w:cs="Times New Roman"/>
          <w:sz w:val="24"/>
          <w:szCs w:val="24"/>
        </w:rPr>
        <w:t xml:space="preserve">. </w:t>
      </w:r>
      <w:r w:rsidR="00B32234" w:rsidRPr="00457618">
        <w:rPr>
          <w:rFonts w:ascii="Times New Roman" w:hAnsi="Times New Roman" w:cs="Times New Roman"/>
          <w:sz w:val="24"/>
          <w:szCs w:val="24"/>
        </w:rPr>
        <w:t>Por sua vez</w:t>
      </w:r>
      <w:r w:rsidR="008164B3" w:rsidRPr="00457618">
        <w:rPr>
          <w:rFonts w:ascii="Times New Roman" w:hAnsi="Times New Roman" w:cs="Times New Roman"/>
          <w:sz w:val="24"/>
          <w:szCs w:val="24"/>
        </w:rPr>
        <w:t>, as espécies pioneiras</w:t>
      </w:r>
      <w:r w:rsidR="003A2AA8" w:rsidRPr="00457618">
        <w:rPr>
          <w:rFonts w:ascii="Times New Roman" w:hAnsi="Times New Roman" w:cs="Times New Roman"/>
          <w:sz w:val="24"/>
          <w:szCs w:val="24"/>
        </w:rPr>
        <w:t xml:space="preserve">, </w:t>
      </w:r>
      <w:r w:rsidR="003A2AA8" w:rsidRPr="00457618">
        <w:rPr>
          <w:rFonts w:ascii="Times New Roman" w:hAnsi="Times New Roman" w:cs="Times New Roman"/>
          <w:i/>
          <w:iCs/>
          <w:sz w:val="24"/>
          <w:szCs w:val="24"/>
        </w:rPr>
        <w:t xml:space="preserve">G. ulmifolia </w:t>
      </w:r>
      <w:r w:rsidR="003A2AA8" w:rsidRPr="00457618">
        <w:rPr>
          <w:rFonts w:ascii="Times New Roman" w:hAnsi="Times New Roman" w:cs="Times New Roman"/>
          <w:iCs/>
          <w:sz w:val="24"/>
          <w:szCs w:val="24"/>
        </w:rPr>
        <w:t xml:space="preserve">e </w:t>
      </w:r>
      <w:r w:rsidR="003A2AA8" w:rsidRPr="00457618">
        <w:rPr>
          <w:rFonts w:ascii="Times New Roman" w:hAnsi="Times New Roman" w:cs="Times New Roman"/>
          <w:i/>
          <w:iCs/>
          <w:sz w:val="24"/>
          <w:szCs w:val="24"/>
        </w:rPr>
        <w:t>S.</w:t>
      </w:r>
      <w:r w:rsidR="00282085" w:rsidRPr="00457618">
        <w:rPr>
          <w:rFonts w:ascii="Times New Roman" w:hAnsi="Times New Roman" w:cs="Times New Roman"/>
          <w:i/>
          <w:iCs/>
          <w:sz w:val="24"/>
          <w:szCs w:val="24"/>
        </w:rPr>
        <w:t xml:space="preserve"> </w:t>
      </w:r>
      <w:r w:rsidR="003A2AA8" w:rsidRPr="00457618">
        <w:rPr>
          <w:rFonts w:ascii="Times New Roman" w:hAnsi="Times New Roman" w:cs="Times New Roman"/>
          <w:i/>
          <w:iCs/>
          <w:sz w:val="24"/>
          <w:szCs w:val="24"/>
        </w:rPr>
        <w:t>terebintifolius</w:t>
      </w:r>
      <w:r w:rsidR="003A2AA8" w:rsidRPr="00457618">
        <w:rPr>
          <w:rFonts w:ascii="Times New Roman" w:hAnsi="Times New Roman" w:cs="Times New Roman"/>
          <w:iCs/>
          <w:sz w:val="24"/>
          <w:szCs w:val="24"/>
        </w:rPr>
        <w:t>,</w:t>
      </w:r>
      <w:r w:rsidR="008164B3" w:rsidRPr="00457618">
        <w:rPr>
          <w:rFonts w:ascii="Times New Roman" w:hAnsi="Times New Roman" w:cs="Times New Roman"/>
          <w:sz w:val="24"/>
          <w:szCs w:val="24"/>
        </w:rPr>
        <w:t xml:space="preserve"> </w:t>
      </w:r>
      <w:r w:rsidR="003A2AA8" w:rsidRPr="00457618">
        <w:rPr>
          <w:rFonts w:ascii="Times New Roman" w:hAnsi="Times New Roman" w:cs="Times New Roman"/>
          <w:sz w:val="24"/>
          <w:szCs w:val="24"/>
        </w:rPr>
        <w:t xml:space="preserve">necessitaram de uma menor concentração </w:t>
      </w:r>
      <w:r w:rsidR="00B32234" w:rsidRPr="00457618">
        <w:rPr>
          <w:rFonts w:ascii="Times New Roman" w:hAnsi="Times New Roman" w:cs="Times New Roman"/>
          <w:sz w:val="24"/>
          <w:szCs w:val="24"/>
        </w:rPr>
        <w:t xml:space="preserve">de </w:t>
      </w:r>
      <w:r w:rsidR="009161C4" w:rsidRPr="00457618">
        <w:rPr>
          <w:rFonts w:ascii="Times New Roman" w:hAnsi="Times New Roman" w:cs="Times New Roman"/>
          <w:sz w:val="24"/>
          <w:szCs w:val="24"/>
        </w:rPr>
        <w:t>fertilizante fosfatado (</w:t>
      </w:r>
      <w:r w:rsidR="00B32234" w:rsidRPr="00457618">
        <w:rPr>
          <w:rFonts w:ascii="Times New Roman" w:hAnsi="Times New Roman" w:cs="Times New Roman"/>
          <w:sz w:val="24"/>
          <w:szCs w:val="24"/>
        </w:rPr>
        <w:t>360 e 540 g de P</w:t>
      </w:r>
      <w:r w:rsidR="00B32234" w:rsidRPr="00457618">
        <w:rPr>
          <w:rFonts w:ascii="Times New Roman" w:hAnsi="Times New Roman" w:cs="Times New Roman"/>
          <w:sz w:val="24"/>
          <w:szCs w:val="24"/>
          <w:vertAlign w:val="subscript"/>
        </w:rPr>
        <w:t>2</w:t>
      </w:r>
      <w:r w:rsidR="00B32234" w:rsidRPr="00457618">
        <w:rPr>
          <w:rFonts w:ascii="Times New Roman" w:hAnsi="Times New Roman" w:cs="Times New Roman"/>
          <w:sz w:val="24"/>
          <w:szCs w:val="24"/>
        </w:rPr>
        <w:t>O</w:t>
      </w:r>
      <w:r w:rsidR="00B32234" w:rsidRPr="00457618">
        <w:rPr>
          <w:rFonts w:ascii="Times New Roman" w:hAnsi="Times New Roman" w:cs="Times New Roman"/>
          <w:sz w:val="24"/>
          <w:szCs w:val="24"/>
          <w:vertAlign w:val="subscript"/>
        </w:rPr>
        <w:t>5</w:t>
      </w:r>
      <w:r w:rsidR="00B32234" w:rsidRPr="00457618">
        <w:rPr>
          <w:rFonts w:ascii="Times New Roman" w:hAnsi="Times New Roman" w:cs="Times New Roman"/>
          <w:sz w:val="24"/>
          <w:szCs w:val="24"/>
        </w:rPr>
        <w:t>/m³, respectivamente)</w:t>
      </w:r>
      <w:r w:rsidR="0021068C" w:rsidRPr="00457618">
        <w:rPr>
          <w:rFonts w:ascii="Times New Roman" w:hAnsi="Times New Roman" w:cs="Times New Roman"/>
          <w:sz w:val="24"/>
          <w:szCs w:val="24"/>
        </w:rPr>
        <w:t xml:space="preserve"> para a maximização do IQD. Conforme menciona Garcia e Souza (2015), d</w:t>
      </w:r>
      <w:r w:rsidR="00984FFC" w:rsidRPr="00457618">
        <w:rPr>
          <w:rFonts w:ascii="Times New Roman" w:hAnsi="Times New Roman" w:cs="Times New Roman"/>
          <w:sz w:val="24"/>
          <w:szCs w:val="24"/>
        </w:rPr>
        <w:t>iferentes espécies florestais respondem de forma distinta à aplicação de adubo fosfatado</w:t>
      </w:r>
      <w:r w:rsidR="0021068C" w:rsidRPr="00457618">
        <w:rPr>
          <w:rFonts w:ascii="Times New Roman" w:hAnsi="Times New Roman" w:cs="Times New Roman"/>
          <w:sz w:val="24"/>
          <w:szCs w:val="24"/>
        </w:rPr>
        <w:t>.</w:t>
      </w:r>
      <w:r w:rsidR="00710365" w:rsidRPr="00457618">
        <w:rPr>
          <w:rFonts w:ascii="Times New Roman" w:hAnsi="Times New Roman" w:cs="Times New Roman"/>
          <w:sz w:val="24"/>
          <w:szCs w:val="24"/>
        </w:rPr>
        <w:t xml:space="preserve"> </w:t>
      </w:r>
      <w:r w:rsidR="00C44C03" w:rsidRPr="00457618">
        <w:rPr>
          <w:rFonts w:ascii="Times New Roman" w:hAnsi="Times New Roman" w:cs="Times New Roman"/>
          <w:sz w:val="24"/>
          <w:szCs w:val="24"/>
        </w:rPr>
        <w:t>Ressalta-se que o</w:t>
      </w:r>
      <w:r w:rsidR="00710365" w:rsidRPr="00457618">
        <w:rPr>
          <w:rFonts w:ascii="Times New Roman" w:hAnsi="Times New Roman" w:cs="Times New Roman"/>
          <w:sz w:val="24"/>
          <w:szCs w:val="24"/>
        </w:rPr>
        <w:t xml:space="preserve"> IQD é uma característica variável (ELOY et al., 2013), que se altera em função da espécie, do manejo das mudas no viveiro, do tipo e proporção do substrato, do volume do recipiente e, principalmente, de acordo com a idade em que a muda foi avaliada (GOMES et al., 2013).</w:t>
      </w:r>
    </w:p>
    <w:p w14:paraId="1771C202" w14:textId="74BAB765" w:rsidR="00946126" w:rsidRPr="00457618" w:rsidRDefault="00707B4A" w:rsidP="004B3AA4">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lastRenderedPageBreak/>
        <w:t xml:space="preserve">O IQD é </w:t>
      </w:r>
      <w:r w:rsidR="00D878E1" w:rsidRPr="00457618">
        <w:rPr>
          <w:rFonts w:ascii="Times New Roman" w:hAnsi="Times New Roman" w:cs="Times New Roman"/>
          <w:sz w:val="24"/>
          <w:szCs w:val="24"/>
        </w:rPr>
        <w:t>apontado com</w:t>
      </w:r>
      <w:r w:rsidRPr="00457618">
        <w:rPr>
          <w:rFonts w:ascii="Times New Roman" w:hAnsi="Times New Roman" w:cs="Times New Roman"/>
          <w:sz w:val="24"/>
          <w:szCs w:val="24"/>
        </w:rPr>
        <w:t xml:space="preserve">o um parâmetro </w:t>
      </w:r>
      <w:r w:rsidR="00B5605A" w:rsidRPr="00457618">
        <w:rPr>
          <w:rFonts w:ascii="Times New Roman" w:hAnsi="Times New Roman" w:cs="Times New Roman"/>
          <w:sz w:val="24"/>
          <w:szCs w:val="24"/>
        </w:rPr>
        <w:t xml:space="preserve">relevante </w:t>
      </w:r>
      <w:r w:rsidRPr="00457618">
        <w:rPr>
          <w:rFonts w:ascii="Times New Roman" w:hAnsi="Times New Roman" w:cs="Times New Roman"/>
          <w:sz w:val="24"/>
          <w:szCs w:val="24"/>
        </w:rPr>
        <w:t xml:space="preserve">para a avaliação da qualidade de mudas por </w:t>
      </w:r>
      <w:r w:rsidR="00D878E1" w:rsidRPr="00457618">
        <w:rPr>
          <w:rFonts w:ascii="Times New Roman" w:hAnsi="Times New Roman" w:cs="Times New Roman"/>
          <w:sz w:val="24"/>
          <w:szCs w:val="24"/>
        </w:rPr>
        <w:t>considerar integralmente as características morfológicas da planta</w:t>
      </w:r>
      <w:r w:rsidRPr="00457618">
        <w:rPr>
          <w:rFonts w:ascii="Times New Roman" w:hAnsi="Times New Roman" w:cs="Times New Roman"/>
          <w:sz w:val="24"/>
          <w:szCs w:val="24"/>
        </w:rPr>
        <w:t xml:space="preserve">. </w:t>
      </w:r>
      <w:r w:rsidR="00CA2AFC" w:rsidRPr="00457618">
        <w:rPr>
          <w:rFonts w:ascii="Times New Roman" w:hAnsi="Times New Roman" w:cs="Times New Roman"/>
          <w:sz w:val="24"/>
          <w:szCs w:val="24"/>
        </w:rPr>
        <w:t>Fonseca et al. (2002) argumentam que as variáveis ​​usadas para avaliar a qualidade das mudas não devem ser estudados separadamente, dessa forma evitando o risco de sele</w:t>
      </w:r>
      <w:r w:rsidR="00D878E1" w:rsidRPr="00457618">
        <w:rPr>
          <w:rFonts w:ascii="Times New Roman" w:hAnsi="Times New Roman" w:cs="Times New Roman"/>
          <w:sz w:val="24"/>
          <w:szCs w:val="24"/>
        </w:rPr>
        <w:t>ção de mudas mais altas e fraca</w:t>
      </w:r>
      <w:r w:rsidR="00CA2AFC" w:rsidRPr="00457618">
        <w:rPr>
          <w:rFonts w:ascii="Times New Roman" w:hAnsi="Times New Roman" w:cs="Times New Roman"/>
          <w:sz w:val="24"/>
          <w:szCs w:val="24"/>
        </w:rPr>
        <w:t>s enquanto descarta menores, mais resistentes.</w:t>
      </w:r>
    </w:p>
    <w:p w14:paraId="7E5BF9F1" w14:textId="00B8A6AF" w:rsidR="00946126" w:rsidRPr="00457618" w:rsidRDefault="00932A8E" w:rsidP="00926E1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CONCLUSÕES</w:t>
      </w:r>
    </w:p>
    <w:p w14:paraId="29907D54" w14:textId="2DE37BC4" w:rsidR="00946126" w:rsidRPr="00457618" w:rsidRDefault="00946126" w:rsidP="00217EFC">
      <w:pPr>
        <w:spacing w:after="240" w:line="480" w:lineRule="auto"/>
        <w:ind w:firstLine="708"/>
        <w:jc w:val="both"/>
        <w:rPr>
          <w:rFonts w:ascii="Times New Roman" w:hAnsi="Times New Roman" w:cs="Times New Roman"/>
          <w:sz w:val="24"/>
          <w:szCs w:val="24"/>
        </w:rPr>
      </w:pPr>
      <w:r w:rsidRPr="00457618">
        <w:rPr>
          <w:rFonts w:ascii="Times New Roman" w:hAnsi="Times New Roman" w:cs="Times New Roman"/>
          <w:sz w:val="24"/>
          <w:szCs w:val="24"/>
        </w:rPr>
        <w:t xml:space="preserve">A </w:t>
      </w:r>
      <w:r w:rsidR="00F233D1" w:rsidRPr="00457618">
        <w:rPr>
          <w:rFonts w:ascii="Times New Roman" w:hAnsi="Times New Roman" w:cs="Times New Roman"/>
          <w:sz w:val="24"/>
          <w:szCs w:val="24"/>
        </w:rPr>
        <w:t>utilização de diferentes dosagens de fertilizante</w:t>
      </w:r>
      <w:r w:rsidRPr="00457618">
        <w:rPr>
          <w:rFonts w:ascii="Times New Roman" w:hAnsi="Times New Roman" w:cs="Times New Roman"/>
          <w:sz w:val="24"/>
          <w:szCs w:val="24"/>
        </w:rPr>
        <w:t xml:space="preserve"> </w:t>
      </w:r>
      <w:r w:rsidR="00F233D1" w:rsidRPr="00457618">
        <w:rPr>
          <w:rFonts w:ascii="Times New Roman" w:hAnsi="Times New Roman" w:cs="Times New Roman"/>
          <w:sz w:val="24"/>
          <w:szCs w:val="24"/>
        </w:rPr>
        <w:t>fosfatado</w:t>
      </w:r>
      <w:r w:rsidRPr="00457618">
        <w:rPr>
          <w:rFonts w:ascii="Times New Roman" w:hAnsi="Times New Roman" w:cs="Times New Roman"/>
          <w:sz w:val="24"/>
          <w:szCs w:val="24"/>
        </w:rPr>
        <w:t xml:space="preserve"> e o tamanho dos recipientes</w:t>
      </w:r>
      <w:r w:rsidR="00F233D1" w:rsidRPr="00457618">
        <w:rPr>
          <w:rFonts w:ascii="Times New Roman" w:hAnsi="Times New Roman" w:cs="Times New Roman"/>
          <w:sz w:val="24"/>
          <w:szCs w:val="24"/>
        </w:rPr>
        <w:t xml:space="preserve"> de produção</w:t>
      </w:r>
      <w:r w:rsidRPr="00457618">
        <w:rPr>
          <w:rFonts w:ascii="Times New Roman" w:hAnsi="Times New Roman" w:cs="Times New Roman"/>
          <w:sz w:val="24"/>
          <w:szCs w:val="24"/>
        </w:rPr>
        <w:t xml:space="preserve"> afetam a qualidade de mudas de </w:t>
      </w:r>
      <w:r w:rsidR="00C52A72" w:rsidRPr="00457618">
        <w:rPr>
          <w:rFonts w:ascii="Times New Roman" w:hAnsi="Times New Roman" w:cs="Times New Roman"/>
          <w:i/>
          <w:iCs/>
          <w:sz w:val="24"/>
          <w:szCs w:val="24"/>
        </w:rPr>
        <w:t>S. saponaria</w:t>
      </w:r>
      <w:r w:rsidR="00C52A72" w:rsidRPr="00457618">
        <w:rPr>
          <w:rFonts w:ascii="Times New Roman" w:hAnsi="Times New Roman" w:cs="Times New Roman"/>
          <w:iCs/>
          <w:sz w:val="24"/>
          <w:szCs w:val="24"/>
        </w:rPr>
        <w:t>,</w:t>
      </w:r>
      <w:r w:rsidR="00C52A72" w:rsidRPr="00457618">
        <w:rPr>
          <w:rFonts w:ascii="Times New Roman" w:hAnsi="Times New Roman" w:cs="Times New Roman"/>
          <w:sz w:val="24"/>
          <w:szCs w:val="24"/>
        </w:rPr>
        <w:t xml:space="preserve"> </w:t>
      </w:r>
      <w:r w:rsidR="00C52A72" w:rsidRPr="00457618">
        <w:rPr>
          <w:rFonts w:ascii="Times New Roman" w:hAnsi="Times New Roman" w:cs="Times New Roman"/>
          <w:i/>
          <w:iCs/>
          <w:sz w:val="24"/>
          <w:szCs w:val="24"/>
        </w:rPr>
        <w:t xml:space="preserve">C. speciosa, G. ulmifolia </w:t>
      </w:r>
      <w:r w:rsidR="00C52A72" w:rsidRPr="00457618">
        <w:rPr>
          <w:rFonts w:ascii="Times New Roman" w:hAnsi="Times New Roman" w:cs="Times New Roman"/>
          <w:iCs/>
          <w:sz w:val="24"/>
          <w:szCs w:val="24"/>
        </w:rPr>
        <w:t xml:space="preserve">e </w:t>
      </w:r>
      <w:r w:rsidR="00C52A72" w:rsidRPr="00457618">
        <w:rPr>
          <w:rFonts w:ascii="Times New Roman" w:hAnsi="Times New Roman" w:cs="Times New Roman"/>
          <w:i/>
          <w:iCs/>
          <w:sz w:val="24"/>
          <w:szCs w:val="24"/>
        </w:rPr>
        <w:t>S. terebintifolius</w:t>
      </w:r>
      <w:r w:rsidRPr="00457618">
        <w:rPr>
          <w:rFonts w:ascii="Times New Roman" w:hAnsi="Times New Roman" w:cs="Times New Roman"/>
          <w:sz w:val="24"/>
          <w:szCs w:val="24"/>
        </w:rPr>
        <w:t xml:space="preserve">. </w:t>
      </w:r>
      <w:r w:rsidR="00C52A72" w:rsidRPr="00457618">
        <w:rPr>
          <w:rFonts w:ascii="Times New Roman" w:hAnsi="Times New Roman" w:cs="Times New Roman"/>
          <w:sz w:val="24"/>
          <w:szCs w:val="24"/>
        </w:rPr>
        <w:t xml:space="preserve"> </w:t>
      </w:r>
      <w:r w:rsidR="00F233D1" w:rsidRPr="00457618">
        <w:rPr>
          <w:rFonts w:ascii="Times New Roman" w:hAnsi="Times New Roman" w:cs="Times New Roman"/>
          <w:sz w:val="24"/>
          <w:szCs w:val="24"/>
        </w:rPr>
        <w:t>O tubete de 120 cm³ promoveu os maiores Índices de Qualidade de Dickson</w:t>
      </w:r>
      <w:r w:rsidR="00A462BD" w:rsidRPr="00457618">
        <w:rPr>
          <w:rFonts w:ascii="Times New Roman" w:hAnsi="Times New Roman" w:cs="Times New Roman"/>
          <w:sz w:val="24"/>
          <w:szCs w:val="24"/>
        </w:rPr>
        <w:t>, para todas as espécies avaliadas</w:t>
      </w:r>
      <w:r w:rsidR="00F233D1" w:rsidRPr="00457618">
        <w:rPr>
          <w:rFonts w:ascii="Times New Roman" w:hAnsi="Times New Roman" w:cs="Times New Roman"/>
          <w:sz w:val="24"/>
          <w:szCs w:val="24"/>
        </w:rPr>
        <w:t>, sendo que a</w:t>
      </w:r>
      <w:r w:rsidR="00EA1BCC" w:rsidRPr="00457618">
        <w:rPr>
          <w:rFonts w:ascii="Times New Roman" w:hAnsi="Times New Roman" w:cs="Times New Roman"/>
          <w:sz w:val="24"/>
          <w:szCs w:val="24"/>
        </w:rPr>
        <w:t xml:space="preserve"> concentração de P</w:t>
      </w:r>
      <w:r w:rsidR="00EA1BCC" w:rsidRPr="00457618">
        <w:rPr>
          <w:rFonts w:ascii="Times New Roman" w:hAnsi="Times New Roman" w:cs="Times New Roman"/>
          <w:sz w:val="24"/>
          <w:szCs w:val="24"/>
          <w:vertAlign w:val="subscript"/>
        </w:rPr>
        <w:t>2</w:t>
      </w:r>
      <w:r w:rsidR="00EA1BCC" w:rsidRPr="00457618">
        <w:rPr>
          <w:rFonts w:ascii="Times New Roman" w:hAnsi="Times New Roman" w:cs="Times New Roman"/>
          <w:sz w:val="24"/>
          <w:szCs w:val="24"/>
        </w:rPr>
        <w:t>O</w:t>
      </w:r>
      <w:r w:rsidR="00EA1BCC" w:rsidRPr="00457618">
        <w:rPr>
          <w:rFonts w:ascii="Times New Roman" w:hAnsi="Times New Roman" w:cs="Times New Roman"/>
          <w:sz w:val="24"/>
          <w:szCs w:val="24"/>
          <w:vertAlign w:val="subscript"/>
        </w:rPr>
        <w:t>5</w:t>
      </w:r>
      <w:r w:rsidR="00EA1BCC" w:rsidRPr="00457618">
        <w:rPr>
          <w:rFonts w:ascii="Times New Roman" w:hAnsi="Times New Roman" w:cs="Times New Roman"/>
          <w:sz w:val="24"/>
          <w:szCs w:val="24"/>
        </w:rPr>
        <w:t>/m³ de substrato que indica o melhor recipiente de produção de mudas varia de acordo com a espécie</w:t>
      </w:r>
      <w:r w:rsidR="00F233D1" w:rsidRPr="00457618">
        <w:rPr>
          <w:rFonts w:ascii="Times New Roman" w:hAnsi="Times New Roman" w:cs="Times New Roman"/>
          <w:sz w:val="24"/>
          <w:szCs w:val="24"/>
        </w:rPr>
        <w:t>.</w:t>
      </w:r>
      <w:bookmarkStart w:id="8" w:name="_GoBack"/>
      <w:bookmarkEnd w:id="8"/>
    </w:p>
    <w:p w14:paraId="2724C3C7" w14:textId="77777777" w:rsidR="00946126" w:rsidRPr="00457618" w:rsidRDefault="00946126" w:rsidP="00926E1A">
      <w:pPr>
        <w:spacing w:after="0" w:line="480" w:lineRule="auto"/>
        <w:jc w:val="both"/>
        <w:rPr>
          <w:rFonts w:ascii="Times New Roman" w:hAnsi="Times New Roman" w:cs="Times New Roman"/>
          <w:b/>
          <w:bCs/>
          <w:sz w:val="24"/>
          <w:szCs w:val="24"/>
        </w:rPr>
      </w:pPr>
      <w:r w:rsidRPr="00457618">
        <w:rPr>
          <w:rFonts w:ascii="Times New Roman" w:hAnsi="Times New Roman" w:cs="Times New Roman"/>
          <w:b/>
          <w:bCs/>
          <w:sz w:val="24"/>
          <w:szCs w:val="24"/>
        </w:rPr>
        <w:t>REFERÊNCIAS BIBLIOGRÁFICAS</w:t>
      </w:r>
    </w:p>
    <w:p w14:paraId="18E79DAD" w14:textId="77777777"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rPr>
        <w:t>AZEVEDO, I. M. G.; ALENCAR, R. M.; BARBOSA, A. P.; ALMEIDA, N. O. Estudo do crescimento e qualidade de mudas de marupá (</w:t>
      </w:r>
      <w:r w:rsidRPr="00AF40EA">
        <w:rPr>
          <w:rFonts w:ascii="Times New Roman" w:hAnsi="Times New Roman" w:cs="Times New Roman"/>
          <w:i/>
          <w:sz w:val="24"/>
          <w:szCs w:val="24"/>
        </w:rPr>
        <w:t>Simarouba amara</w:t>
      </w:r>
      <w:r w:rsidRPr="00457618">
        <w:rPr>
          <w:rFonts w:ascii="Times New Roman" w:hAnsi="Times New Roman" w:cs="Times New Roman"/>
          <w:sz w:val="24"/>
          <w:szCs w:val="24"/>
        </w:rPr>
        <w:t xml:space="preserve"> Aubl.) em viveiro. </w:t>
      </w:r>
      <w:r w:rsidRPr="00455D02">
        <w:rPr>
          <w:rFonts w:ascii="Times New Roman" w:hAnsi="Times New Roman" w:cs="Times New Roman"/>
          <w:b/>
          <w:sz w:val="24"/>
          <w:szCs w:val="24"/>
        </w:rPr>
        <w:t>Acta Amazonica</w:t>
      </w:r>
      <w:r w:rsidRPr="00457618">
        <w:rPr>
          <w:rFonts w:ascii="Times New Roman" w:hAnsi="Times New Roman" w:cs="Times New Roman"/>
          <w:sz w:val="24"/>
          <w:szCs w:val="24"/>
        </w:rPr>
        <w:t>, Manaus, v. 40, p. 157-164, 2010.</w:t>
      </w:r>
    </w:p>
    <w:p w14:paraId="0898C44D" w14:textId="77777777"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rPr>
        <w:t xml:space="preserve">BIRCHER, T.; ROSE, R. W.; ROYO, A.; PARDOS, M. La planta ideal: revision del concepto, parametros definitorios y implementatión practica. </w:t>
      </w:r>
      <w:r w:rsidRPr="00633E4F">
        <w:rPr>
          <w:rFonts w:ascii="Times New Roman" w:hAnsi="Times New Roman" w:cs="Times New Roman"/>
          <w:b/>
          <w:sz w:val="24"/>
          <w:szCs w:val="24"/>
        </w:rPr>
        <w:t>Investigation Agrária, Sistemas y Recursos Forestales</w:t>
      </w:r>
      <w:r w:rsidRPr="00457618">
        <w:rPr>
          <w:rFonts w:ascii="Times New Roman" w:hAnsi="Times New Roman" w:cs="Times New Roman"/>
          <w:sz w:val="24"/>
          <w:szCs w:val="24"/>
        </w:rPr>
        <w:t>, Madrid, v.7, n.1/2, 1998.</w:t>
      </w:r>
    </w:p>
    <w:p w14:paraId="67AF7844" w14:textId="77F83F49"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shd w:val="clear" w:color="auto" w:fill="FFFFFF"/>
        </w:rPr>
        <w:t>BRACHTVOGEL, E. L.; FREIBERGER, M. B.; MALAVASI, M. M.; MALAVASI, U. C</w:t>
      </w:r>
      <w:r w:rsidRPr="00457618">
        <w:rPr>
          <w:rFonts w:ascii="Times New Roman" w:hAnsi="Times New Roman" w:cs="Times New Roman"/>
          <w:sz w:val="24"/>
          <w:szCs w:val="24"/>
        </w:rPr>
        <w:t xml:space="preserve">. Efeitos do uso de um fertilizante de lenta disponibilidade e do volume do recipiente na formação de mudas de </w:t>
      </w:r>
      <w:r w:rsidRPr="00457618">
        <w:rPr>
          <w:rFonts w:ascii="Times New Roman" w:hAnsi="Times New Roman" w:cs="Times New Roman"/>
          <w:i/>
          <w:iCs/>
          <w:sz w:val="24"/>
          <w:szCs w:val="24"/>
        </w:rPr>
        <w:t>Peltophorum dubium</w:t>
      </w:r>
      <w:r w:rsidRPr="00457618">
        <w:rPr>
          <w:rFonts w:ascii="Times New Roman" w:hAnsi="Times New Roman" w:cs="Times New Roman"/>
          <w:sz w:val="24"/>
          <w:szCs w:val="24"/>
        </w:rPr>
        <w:t xml:space="preserve">. </w:t>
      </w:r>
      <w:r w:rsidRPr="00457618">
        <w:rPr>
          <w:rFonts w:ascii="Times New Roman" w:hAnsi="Times New Roman" w:cs="Times New Roman"/>
          <w:b/>
          <w:bCs/>
          <w:sz w:val="24"/>
          <w:szCs w:val="24"/>
        </w:rPr>
        <w:t>Scientia Agrária Paranaensis</w:t>
      </w:r>
      <w:r w:rsidRPr="00457618">
        <w:rPr>
          <w:rFonts w:ascii="Times New Roman" w:hAnsi="Times New Roman" w:cs="Times New Roman"/>
          <w:sz w:val="24"/>
          <w:szCs w:val="24"/>
        </w:rPr>
        <w:t>, Marechal Cândido Rondon</w:t>
      </w:r>
      <w:r w:rsidRPr="00457618">
        <w:rPr>
          <w:rFonts w:ascii="Times New Roman" w:hAnsi="Times New Roman" w:cs="Times New Roman"/>
          <w:b/>
          <w:bCs/>
          <w:sz w:val="24"/>
          <w:szCs w:val="24"/>
        </w:rPr>
        <w:t xml:space="preserve">, </w:t>
      </w:r>
      <w:r w:rsidRPr="00457618">
        <w:rPr>
          <w:rFonts w:ascii="Times New Roman" w:hAnsi="Times New Roman" w:cs="Times New Roman"/>
          <w:sz w:val="24"/>
          <w:szCs w:val="24"/>
        </w:rPr>
        <w:t>v.5, p. 67- 71,</w:t>
      </w:r>
      <w:r w:rsidR="00633E4F">
        <w:rPr>
          <w:rFonts w:ascii="Times New Roman" w:hAnsi="Times New Roman" w:cs="Times New Roman"/>
          <w:sz w:val="24"/>
          <w:szCs w:val="24"/>
        </w:rPr>
        <w:t xml:space="preserve"> </w:t>
      </w:r>
      <w:r w:rsidRPr="00457618">
        <w:rPr>
          <w:rFonts w:ascii="Times New Roman" w:hAnsi="Times New Roman" w:cs="Times New Roman"/>
          <w:sz w:val="24"/>
          <w:szCs w:val="24"/>
        </w:rPr>
        <w:t>2006.</w:t>
      </w:r>
    </w:p>
    <w:p w14:paraId="51A5AEAE" w14:textId="52397790" w:rsidR="002D2D6E" w:rsidRPr="00457618" w:rsidRDefault="00633E4F" w:rsidP="003211BD">
      <w:pPr>
        <w:spacing w:afterLines="200" w:after="480" w:line="240" w:lineRule="auto"/>
        <w:ind w:left="425" w:hanging="425"/>
        <w:jc w:val="both"/>
        <w:rPr>
          <w:rFonts w:ascii="Times New Roman" w:hAnsi="Times New Roman" w:cs="Times New Roman"/>
          <w:sz w:val="24"/>
          <w:szCs w:val="24"/>
          <w:lang w:val="en-US"/>
        </w:rPr>
      </w:pPr>
      <w:r w:rsidRPr="00633E4F">
        <w:rPr>
          <w:rFonts w:ascii="Times New Roman" w:hAnsi="Times New Roman" w:cs="Times New Roman"/>
          <w:sz w:val="24"/>
          <w:szCs w:val="24"/>
          <w:shd w:val="clear" w:color="auto" w:fill="FFFFFF"/>
          <w:lang w:val="en-US"/>
        </w:rPr>
        <w:t>BROWN</w:t>
      </w:r>
      <w:r w:rsidR="009F1040">
        <w:rPr>
          <w:rFonts w:ascii="Times New Roman" w:hAnsi="Times New Roman" w:cs="Times New Roman"/>
          <w:sz w:val="24"/>
          <w:szCs w:val="24"/>
          <w:shd w:val="clear" w:color="auto" w:fill="FFFFFF"/>
          <w:lang w:val="en-US"/>
        </w:rPr>
        <w:t>, M. B.;</w:t>
      </w:r>
      <w:r w:rsidR="002D2D6E" w:rsidRPr="00633E4F">
        <w:rPr>
          <w:rFonts w:ascii="Times New Roman" w:hAnsi="Times New Roman" w:cs="Times New Roman"/>
          <w:sz w:val="24"/>
          <w:szCs w:val="24"/>
          <w:shd w:val="clear" w:color="auto" w:fill="FFFFFF"/>
          <w:lang w:val="en-US"/>
        </w:rPr>
        <w:t xml:space="preserve"> </w:t>
      </w:r>
      <w:r w:rsidRPr="00633E4F">
        <w:rPr>
          <w:rFonts w:ascii="Times New Roman" w:hAnsi="Times New Roman" w:cs="Times New Roman"/>
          <w:sz w:val="24"/>
          <w:szCs w:val="24"/>
          <w:shd w:val="clear" w:color="auto" w:fill="FFFFFF"/>
          <w:lang w:val="en-US"/>
        </w:rPr>
        <w:t>FORSYTHE</w:t>
      </w:r>
      <w:r>
        <w:rPr>
          <w:rFonts w:ascii="Times New Roman" w:hAnsi="Times New Roman" w:cs="Times New Roman"/>
          <w:sz w:val="24"/>
          <w:szCs w:val="24"/>
          <w:shd w:val="clear" w:color="auto" w:fill="FFFFFF"/>
          <w:lang w:val="en-US"/>
        </w:rPr>
        <w:t>, A. B.</w:t>
      </w:r>
      <w:r w:rsidR="002D2D6E" w:rsidRPr="00633E4F">
        <w:rPr>
          <w:rFonts w:ascii="Times New Roman" w:hAnsi="Times New Roman" w:cs="Times New Roman"/>
          <w:sz w:val="24"/>
          <w:szCs w:val="24"/>
          <w:shd w:val="clear" w:color="auto" w:fill="FFFFFF"/>
          <w:lang w:val="en-US"/>
        </w:rPr>
        <w:t xml:space="preserve"> </w:t>
      </w:r>
      <w:r w:rsidR="002D2D6E" w:rsidRPr="00457618">
        <w:rPr>
          <w:rFonts w:ascii="Times New Roman" w:hAnsi="Times New Roman" w:cs="Times New Roman"/>
          <w:sz w:val="24"/>
          <w:szCs w:val="24"/>
          <w:shd w:val="clear" w:color="auto" w:fill="FFFFFF"/>
          <w:lang w:val="en-US"/>
        </w:rPr>
        <w:t>The small sample behavior of some statistics which test the equality of several means.</w:t>
      </w:r>
      <w:r w:rsidR="002D2D6E" w:rsidRPr="00633E4F">
        <w:rPr>
          <w:rStyle w:val="apple-converted-space"/>
          <w:rFonts w:ascii="Times New Roman" w:hAnsi="Times New Roman" w:cs="Times New Roman"/>
          <w:b/>
          <w:sz w:val="24"/>
          <w:szCs w:val="24"/>
          <w:shd w:val="clear" w:color="auto" w:fill="FFFFFF"/>
          <w:lang w:val="en-US"/>
        </w:rPr>
        <w:t> </w:t>
      </w:r>
      <w:r w:rsidR="002D2D6E" w:rsidRPr="00633E4F">
        <w:rPr>
          <w:rFonts w:ascii="Times New Roman" w:hAnsi="Times New Roman" w:cs="Times New Roman"/>
          <w:b/>
          <w:iCs/>
          <w:sz w:val="24"/>
          <w:szCs w:val="24"/>
          <w:shd w:val="clear" w:color="auto" w:fill="FFFFFF"/>
          <w:lang w:val="en-US"/>
        </w:rPr>
        <w:t>Technometrics</w:t>
      </w:r>
      <w:r w:rsidR="002D2D6E" w:rsidRPr="00633E4F">
        <w:rPr>
          <w:rFonts w:ascii="Times New Roman" w:hAnsi="Times New Roman" w:cs="Times New Roman"/>
          <w:b/>
          <w:sz w:val="24"/>
          <w:szCs w:val="24"/>
          <w:shd w:val="clear" w:color="auto" w:fill="FFFFFF"/>
          <w:lang w:val="en-US"/>
        </w:rPr>
        <w:t>,</w:t>
      </w:r>
      <w:r w:rsidR="002D2D6E" w:rsidRPr="00457618">
        <w:rPr>
          <w:rStyle w:val="apple-converted-space"/>
          <w:rFonts w:ascii="Times New Roman" w:hAnsi="Times New Roman" w:cs="Times New Roman"/>
          <w:sz w:val="24"/>
          <w:szCs w:val="24"/>
          <w:shd w:val="clear" w:color="auto" w:fill="FFFFFF"/>
          <w:lang w:val="en-US"/>
        </w:rPr>
        <w:t> </w:t>
      </w:r>
      <w:r>
        <w:rPr>
          <w:rStyle w:val="apple-converted-space"/>
          <w:rFonts w:ascii="Times New Roman" w:hAnsi="Times New Roman" w:cs="Times New Roman"/>
          <w:sz w:val="24"/>
          <w:szCs w:val="24"/>
          <w:shd w:val="clear" w:color="auto" w:fill="FFFFFF"/>
          <w:lang w:val="en-US"/>
        </w:rPr>
        <w:t xml:space="preserve">v. </w:t>
      </w:r>
      <w:r w:rsidR="002D2D6E" w:rsidRPr="00633E4F">
        <w:rPr>
          <w:rFonts w:ascii="Times New Roman" w:hAnsi="Times New Roman" w:cs="Times New Roman"/>
          <w:iCs/>
          <w:sz w:val="24"/>
          <w:szCs w:val="24"/>
          <w:shd w:val="clear" w:color="auto" w:fill="FFFFFF"/>
          <w:lang w:val="en-US"/>
        </w:rPr>
        <w:t>16</w:t>
      </w:r>
      <w:r w:rsidR="008375CA">
        <w:rPr>
          <w:rFonts w:ascii="Times New Roman" w:hAnsi="Times New Roman" w:cs="Times New Roman"/>
          <w:iCs/>
          <w:sz w:val="24"/>
          <w:szCs w:val="24"/>
          <w:shd w:val="clear" w:color="auto" w:fill="FFFFFF"/>
          <w:lang w:val="en-US"/>
        </w:rPr>
        <w:t xml:space="preserve">, n. </w:t>
      </w:r>
      <w:r w:rsidRPr="00633E4F">
        <w:rPr>
          <w:rFonts w:ascii="Times New Roman" w:hAnsi="Times New Roman" w:cs="Times New Roman"/>
          <w:sz w:val="24"/>
          <w:szCs w:val="24"/>
          <w:shd w:val="clear" w:color="auto" w:fill="FFFFFF"/>
          <w:lang w:val="en-US"/>
        </w:rPr>
        <w:t>1</w:t>
      </w:r>
      <w:r>
        <w:rPr>
          <w:rFonts w:ascii="Times New Roman" w:hAnsi="Times New Roman" w:cs="Times New Roman"/>
          <w:sz w:val="24"/>
          <w:szCs w:val="24"/>
          <w:shd w:val="clear" w:color="auto" w:fill="FFFFFF"/>
          <w:lang w:val="en-US"/>
        </w:rPr>
        <w:t>, p. 129-132, 1974.</w:t>
      </w:r>
    </w:p>
    <w:p w14:paraId="5C2B2B37" w14:textId="04112ACD" w:rsidR="002D2D6E" w:rsidRPr="008375CA" w:rsidRDefault="002D2D6E" w:rsidP="003211BD">
      <w:pPr>
        <w:pStyle w:val="Default"/>
        <w:spacing w:afterLines="200" w:after="480"/>
        <w:ind w:left="425" w:hanging="425"/>
        <w:rPr>
          <w:rFonts w:ascii="Times New Roman" w:hAnsi="Times New Roman"/>
          <w:color w:val="auto"/>
          <w:lang w:val="en-US"/>
        </w:rPr>
      </w:pPr>
      <w:r w:rsidRPr="00457618">
        <w:rPr>
          <w:rFonts w:ascii="Times New Roman" w:hAnsi="Times New Roman"/>
          <w:color w:val="auto"/>
          <w:lang w:val="en-US"/>
        </w:rPr>
        <w:t xml:space="preserve">DICKSON, A.; LEAF, A. L.; HOSNER, J. F. Quality appraisal of white spruce and white pine seedling stock in nurseries. </w:t>
      </w:r>
      <w:r w:rsidRPr="008375CA">
        <w:rPr>
          <w:rFonts w:ascii="Times New Roman" w:hAnsi="Times New Roman"/>
          <w:b/>
          <w:color w:val="auto"/>
          <w:lang w:val="en-US"/>
        </w:rPr>
        <w:t>For</w:t>
      </w:r>
      <w:r w:rsidR="008375CA">
        <w:rPr>
          <w:rFonts w:ascii="Times New Roman" w:hAnsi="Times New Roman"/>
          <w:b/>
          <w:color w:val="auto"/>
          <w:lang w:val="en-US"/>
        </w:rPr>
        <w:t>est</w:t>
      </w:r>
      <w:r w:rsidRPr="008375CA">
        <w:rPr>
          <w:rFonts w:ascii="Times New Roman" w:hAnsi="Times New Roman"/>
          <w:b/>
          <w:color w:val="auto"/>
          <w:lang w:val="en-US"/>
        </w:rPr>
        <w:t>. Chron</w:t>
      </w:r>
      <w:r w:rsidR="008375CA">
        <w:rPr>
          <w:rFonts w:ascii="Times New Roman" w:hAnsi="Times New Roman"/>
          <w:b/>
          <w:color w:val="auto"/>
          <w:lang w:val="en-US"/>
        </w:rPr>
        <w:t>icles</w:t>
      </w:r>
      <w:r w:rsidRPr="008375CA">
        <w:rPr>
          <w:rFonts w:ascii="Times New Roman" w:hAnsi="Times New Roman"/>
          <w:b/>
          <w:color w:val="auto"/>
          <w:lang w:val="en-US"/>
        </w:rPr>
        <w:t>.,</w:t>
      </w:r>
      <w:r w:rsidRPr="008375CA">
        <w:rPr>
          <w:rFonts w:ascii="Times New Roman" w:hAnsi="Times New Roman"/>
          <w:color w:val="auto"/>
          <w:lang w:val="en-US"/>
        </w:rPr>
        <w:t xml:space="preserve"> v. 36, p. 10-13,1960.</w:t>
      </w:r>
    </w:p>
    <w:p w14:paraId="7F25CD4B" w14:textId="2E5AD935" w:rsidR="002D2D6E" w:rsidRPr="00457618" w:rsidRDefault="002D2D6E" w:rsidP="003211BD">
      <w:pPr>
        <w:spacing w:afterLines="200" w:after="480" w:line="240" w:lineRule="auto"/>
        <w:ind w:left="425" w:hanging="425"/>
        <w:jc w:val="both"/>
        <w:rPr>
          <w:rFonts w:ascii="Times New Roman" w:hAnsi="Times New Roman" w:cs="Times New Roman"/>
          <w:sz w:val="24"/>
          <w:szCs w:val="24"/>
          <w:shd w:val="clear" w:color="auto" w:fill="FFFFFF"/>
        </w:rPr>
      </w:pPr>
      <w:hyperlink r:id="rId8" w:tgtFrame="_blank" w:history="1">
        <w:r w:rsidRPr="00457618">
          <w:rPr>
            <w:rStyle w:val="Hyperlink"/>
            <w:rFonts w:ascii="Times New Roman" w:hAnsi="Times New Roman" w:cs="Times New Roman"/>
            <w:bCs/>
            <w:color w:val="auto"/>
            <w:sz w:val="24"/>
            <w:szCs w:val="24"/>
            <w:u w:val="none"/>
            <w:bdr w:val="none" w:sz="0" w:space="0" w:color="auto" w:frame="1"/>
            <w:lang w:val="en-US"/>
          </w:rPr>
          <w:t>ELOY, E.</w:t>
        </w:r>
      </w:hyperlink>
      <w:r w:rsidRPr="00457618">
        <w:rPr>
          <w:rFonts w:ascii="Times New Roman" w:hAnsi="Times New Roman" w:cs="Times New Roman"/>
          <w:sz w:val="24"/>
          <w:szCs w:val="24"/>
          <w:shd w:val="clear" w:color="auto" w:fill="FFFFFF"/>
          <w:lang w:val="en-US"/>
        </w:rPr>
        <w:t>;</w:t>
      </w:r>
      <w:r w:rsidRPr="00457618">
        <w:rPr>
          <w:rStyle w:val="apple-converted-space"/>
          <w:rFonts w:ascii="Times New Roman" w:hAnsi="Times New Roman" w:cs="Times New Roman"/>
          <w:sz w:val="24"/>
          <w:szCs w:val="24"/>
          <w:shd w:val="clear" w:color="auto" w:fill="FFFFFF"/>
          <w:lang w:val="en-US"/>
        </w:rPr>
        <w:t> </w:t>
      </w:r>
      <w:hyperlink r:id="rId9" w:tgtFrame="_blank" w:history="1">
        <w:r w:rsidRPr="00457618">
          <w:rPr>
            <w:rStyle w:val="Hyperlink"/>
            <w:rFonts w:ascii="Times New Roman" w:hAnsi="Times New Roman" w:cs="Times New Roman"/>
            <w:color w:val="auto"/>
            <w:sz w:val="24"/>
            <w:szCs w:val="24"/>
            <w:u w:val="none"/>
            <w:bdr w:val="none" w:sz="0" w:space="0" w:color="auto" w:frame="1"/>
            <w:shd w:val="clear" w:color="auto" w:fill="FFFFFF"/>
            <w:lang w:val="en-US"/>
          </w:rPr>
          <w:t>CARON, B. O.</w:t>
        </w:r>
      </w:hyperlink>
      <w:r w:rsidRPr="008375CA">
        <w:rPr>
          <w:rFonts w:ascii="Times New Roman" w:hAnsi="Times New Roman" w:cs="Times New Roman"/>
          <w:sz w:val="24"/>
          <w:szCs w:val="24"/>
          <w:shd w:val="clear" w:color="auto" w:fill="FFFFFF"/>
          <w:lang w:val="en-US"/>
        </w:rPr>
        <w:t>; SCHMIDT, D.;</w:t>
      </w:r>
      <w:r w:rsidRPr="008375CA">
        <w:rPr>
          <w:rStyle w:val="apple-converted-space"/>
          <w:rFonts w:ascii="Times New Roman" w:hAnsi="Times New Roman" w:cs="Times New Roman"/>
          <w:sz w:val="24"/>
          <w:szCs w:val="24"/>
          <w:shd w:val="clear" w:color="auto" w:fill="FFFFFF"/>
          <w:lang w:val="en-US"/>
        </w:rPr>
        <w:t> </w:t>
      </w:r>
      <w:hyperlink r:id="rId10" w:tgtFrame="_blank" w:tooltip="Clique para visualizar o currículo" w:history="1">
        <w:r w:rsidRPr="00AF40EA">
          <w:rPr>
            <w:rStyle w:val="Hyperlink"/>
            <w:rFonts w:ascii="Times New Roman" w:hAnsi="Times New Roman" w:cs="Times New Roman"/>
            <w:color w:val="auto"/>
            <w:sz w:val="24"/>
            <w:szCs w:val="24"/>
            <w:u w:val="none"/>
            <w:bdr w:val="none" w:sz="0" w:space="0" w:color="auto" w:frame="1"/>
            <w:shd w:val="clear" w:color="auto" w:fill="FFFFFF"/>
            <w:lang w:val="en-US"/>
          </w:rPr>
          <w:t>BEHLING, A.</w:t>
        </w:r>
      </w:hyperlink>
      <w:r w:rsidR="00AF40EA">
        <w:rPr>
          <w:rFonts w:ascii="Times New Roman" w:hAnsi="Times New Roman" w:cs="Times New Roman"/>
          <w:sz w:val="24"/>
          <w:szCs w:val="24"/>
          <w:shd w:val="clear" w:color="auto" w:fill="FFFFFF"/>
          <w:lang w:val="en-US"/>
        </w:rPr>
        <w:t>; SCHWERS, L.</w:t>
      </w:r>
      <w:r w:rsidRPr="00AF40EA">
        <w:rPr>
          <w:rFonts w:ascii="Times New Roman" w:hAnsi="Times New Roman" w:cs="Times New Roman"/>
          <w:sz w:val="24"/>
          <w:szCs w:val="24"/>
          <w:shd w:val="clear" w:color="auto" w:fill="FFFFFF"/>
          <w:lang w:val="en-US"/>
        </w:rPr>
        <w:t>;</w:t>
      </w:r>
      <w:r w:rsidRPr="00AF40EA">
        <w:rPr>
          <w:rStyle w:val="apple-converted-space"/>
          <w:rFonts w:ascii="Times New Roman" w:hAnsi="Times New Roman" w:cs="Times New Roman"/>
          <w:sz w:val="24"/>
          <w:szCs w:val="24"/>
          <w:shd w:val="clear" w:color="auto" w:fill="FFFFFF"/>
          <w:lang w:val="en-US"/>
        </w:rPr>
        <w:t> </w:t>
      </w:r>
      <w:hyperlink r:id="rId11" w:tgtFrame="_blank" w:tooltip="Clique para visualizar o currículo" w:history="1">
        <w:r w:rsidRPr="00AF40EA">
          <w:rPr>
            <w:rStyle w:val="Hyperlink"/>
            <w:rFonts w:ascii="Times New Roman" w:hAnsi="Times New Roman" w:cs="Times New Roman"/>
            <w:color w:val="auto"/>
            <w:sz w:val="24"/>
            <w:szCs w:val="24"/>
            <w:u w:val="none"/>
            <w:bdr w:val="none" w:sz="0" w:space="0" w:color="auto" w:frame="1"/>
            <w:shd w:val="clear" w:color="auto" w:fill="FFFFFF"/>
            <w:lang w:val="en-US"/>
          </w:rPr>
          <w:t>ELLI, E. F.</w:t>
        </w:r>
      </w:hyperlink>
      <w:r w:rsidRPr="00AF40EA">
        <w:rPr>
          <w:rFonts w:ascii="Times New Roman" w:hAnsi="Times New Roman" w:cs="Times New Roman"/>
          <w:sz w:val="24"/>
          <w:szCs w:val="24"/>
          <w:shd w:val="clear" w:color="auto" w:fill="FFFFFF"/>
          <w:lang w:val="en-US"/>
        </w:rPr>
        <w:t xml:space="preserve"> </w:t>
      </w:r>
      <w:r w:rsidRPr="00457618">
        <w:rPr>
          <w:rFonts w:ascii="Times New Roman" w:hAnsi="Times New Roman" w:cs="Times New Roman"/>
          <w:sz w:val="24"/>
          <w:szCs w:val="24"/>
          <w:shd w:val="clear" w:color="auto" w:fill="FFFFFF"/>
        </w:rPr>
        <w:t xml:space="preserve">Avaliação da qualidade de mudas de </w:t>
      </w:r>
      <w:r w:rsidRPr="00AF40EA">
        <w:rPr>
          <w:rFonts w:ascii="Times New Roman" w:hAnsi="Times New Roman" w:cs="Times New Roman"/>
          <w:i/>
          <w:sz w:val="24"/>
          <w:szCs w:val="24"/>
          <w:shd w:val="clear" w:color="auto" w:fill="FFFFFF"/>
        </w:rPr>
        <w:t>Eucalyptus grandis</w:t>
      </w:r>
      <w:r w:rsidRPr="00457618">
        <w:rPr>
          <w:rFonts w:ascii="Times New Roman" w:hAnsi="Times New Roman" w:cs="Times New Roman"/>
          <w:sz w:val="24"/>
          <w:szCs w:val="24"/>
          <w:shd w:val="clear" w:color="auto" w:fill="FFFFFF"/>
        </w:rPr>
        <w:t xml:space="preserve"> utilizando pa</w:t>
      </w:r>
      <w:r w:rsidR="00AF40EA">
        <w:rPr>
          <w:rFonts w:ascii="Times New Roman" w:hAnsi="Times New Roman" w:cs="Times New Roman"/>
          <w:sz w:val="24"/>
          <w:szCs w:val="24"/>
          <w:shd w:val="clear" w:color="auto" w:fill="FFFFFF"/>
        </w:rPr>
        <w:t xml:space="preserve">râmetros morfológicos. </w:t>
      </w:r>
      <w:r w:rsidR="00AF40EA" w:rsidRPr="00AF40EA">
        <w:rPr>
          <w:rFonts w:ascii="Times New Roman" w:hAnsi="Times New Roman" w:cs="Times New Roman"/>
          <w:b/>
          <w:sz w:val="24"/>
          <w:szCs w:val="24"/>
          <w:shd w:val="clear" w:color="auto" w:fill="FFFFFF"/>
        </w:rPr>
        <w:t>Floresta</w:t>
      </w:r>
      <w:r w:rsidR="00AF40EA">
        <w:rPr>
          <w:rFonts w:ascii="Times New Roman" w:hAnsi="Times New Roman" w:cs="Times New Roman"/>
          <w:sz w:val="24"/>
          <w:szCs w:val="24"/>
          <w:shd w:val="clear" w:color="auto" w:fill="FFFFFF"/>
        </w:rPr>
        <w:t xml:space="preserve">, Curitiba, </w:t>
      </w:r>
      <w:r w:rsidRPr="00457618">
        <w:rPr>
          <w:rFonts w:ascii="Times New Roman" w:hAnsi="Times New Roman" w:cs="Times New Roman"/>
          <w:sz w:val="24"/>
          <w:szCs w:val="24"/>
          <w:shd w:val="clear" w:color="auto" w:fill="FFFFFF"/>
        </w:rPr>
        <w:t>v. 43, p. 373-384, 2013.</w:t>
      </w:r>
    </w:p>
    <w:p w14:paraId="6841C129" w14:textId="7611278E" w:rsidR="002D2D6E" w:rsidRPr="00457618" w:rsidRDefault="002D2D6E" w:rsidP="003211BD">
      <w:pPr>
        <w:spacing w:afterLines="200" w:after="480" w:line="240" w:lineRule="auto"/>
        <w:ind w:left="425" w:hanging="425"/>
        <w:jc w:val="both"/>
        <w:rPr>
          <w:rFonts w:ascii="Times New Roman" w:hAnsi="Times New Roman" w:cs="Times New Roman"/>
          <w:sz w:val="24"/>
          <w:szCs w:val="24"/>
          <w:lang w:val="en-US"/>
        </w:rPr>
      </w:pPr>
      <w:r w:rsidRPr="00457618">
        <w:rPr>
          <w:rFonts w:ascii="Times New Roman" w:hAnsi="Times New Roman" w:cs="Times New Roman"/>
          <w:sz w:val="24"/>
          <w:szCs w:val="24"/>
        </w:rPr>
        <w:t xml:space="preserve">FERRAZ, A. V.; ENGEL, V. L. Efeito do tamanho de tubetes na qualidade de mudas de jatobá </w:t>
      </w:r>
      <w:r w:rsidRPr="00457618">
        <w:rPr>
          <w:rFonts w:ascii="Times New Roman" w:hAnsi="Times New Roman" w:cs="Times New Roman"/>
          <w:i/>
          <w:iCs/>
          <w:sz w:val="24"/>
          <w:szCs w:val="24"/>
        </w:rPr>
        <w:t>(Hymenaea</w:t>
      </w:r>
      <w:r w:rsidR="00845F4E">
        <w:rPr>
          <w:rFonts w:ascii="Times New Roman" w:hAnsi="Times New Roman" w:cs="Times New Roman"/>
          <w:i/>
          <w:iCs/>
          <w:sz w:val="24"/>
          <w:szCs w:val="24"/>
        </w:rPr>
        <w:t xml:space="preserve"> </w:t>
      </w:r>
      <w:r w:rsidRPr="00457618">
        <w:rPr>
          <w:rFonts w:ascii="Times New Roman" w:hAnsi="Times New Roman" w:cs="Times New Roman"/>
          <w:i/>
          <w:iCs/>
          <w:sz w:val="24"/>
          <w:szCs w:val="24"/>
        </w:rPr>
        <w:t>Courbaril</w:t>
      </w:r>
      <w:r w:rsidRPr="00457618">
        <w:rPr>
          <w:rFonts w:ascii="Times New Roman" w:hAnsi="Times New Roman" w:cs="Times New Roman"/>
          <w:sz w:val="24"/>
          <w:szCs w:val="24"/>
        </w:rPr>
        <w:t xml:space="preserve"> L. var.</w:t>
      </w:r>
      <w:r w:rsidR="00845F4E">
        <w:rPr>
          <w:rFonts w:ascii="Times New Roman" w:hAnsi="Times New Roman" w:cs="Times New Roman"/>
          <w:sz w:val="24"/>
          <w:szCs w:val="24"/>
        </w:rPr>
        <w:t xml:space="preserve"> </w:t>
      </w:r>
      <w:r w:rsidRPr="00457618">
        <w:rPr>
          <w:rFonts w:ascii="Times New Roman" w:hAnsi="Times New Roman" w:cs="Times New Roman"/>
          <w:i/>
          <w:iCs/>
          <w:sz w:val="24"/>
          <w:szCs w:val="24"/>
        </w:rPr>
        <w:t>stilbocarpa</w:t>
      </w:r>
      <w:r w:rsidRPr="00457618">
        <w:rPr>
          <w:rFonts w:ascii="Times New Roman" w:hAnsi="Times New Roman" w:cs="Times New Roman"/>
          <w:sz w:val="24"/>
          <w:szCs w:val="24"/>
        </w:rPr>
        <w:t xml:space="preserve"> (Hayne) Lee </w:t>
      </w:r>
      <w:r w:rsidRPr="00457618">
        <w:rPr>
          <w:rFonts w:ascii="Times New Roman" w:hAnsi="Times New Roman" w:cs="Times New Roman"/>
          <w:i/>
          <w:iCs/>
          <w:sz w:val="24"/>
          <w:szCs w:val="24"/>
        </w:rPr>
        <w:t>et</w:t>
      </w:r>
      <w:r w:rsidRPr="00457618">
        <w:rPr>
          <w:rFonts w:ascii="Times New Roman" w:hAnsi="Times New Roman" w:cs="Times New Roman"/>
          <w:sz w:val="24"/>
          <w:szCs w:val="24"/>
        </w:rPr>
        <w:t xml:space="preserve"> Lang.), ipê-amarelo (</w:t>
      </w:r>
      <w:r w:rsidRPr="00457618">
        <w:rPr>
          <w:rFonts w:ascii="Times New Roman" w:hAnsi="Times New Roman" w:cs="Times New Roman"/>
          <w:i/>
          <w:iCs/>
          <w:sz w:val="24"/>
          <w:szCs w:val="24"/>
        </w:rPr>
        <w:t>Tabebuia chrysotricha</w:t>
      </w:r>
      <w:r w:rsidRPr="00457618">
        <w:rPr>
          <w:rFonts w:ascii="Times New Roman" w:hAnsi="Times New Roman" w:cs="Times New Roman"/>
          <w:sz w:val="24"/>
          <w:szCs w:val="24"/>
        </w:rPr>
        <w:t xml:space="preserve"> (Mart. </w:t>
      </w:r>
      <w:r w:rsidRPr="00457618">
        <w:rPr>
          <w:rFonts w:ascii="Times New Roman" w:hAnsi="Times New Roman" w:cs="Times New Roman"/>
          <w:i/>
          <w:iCs/>
          <w:sz w:val="24"/>
          <w:szCs w:val="24"/>
        </w:rPr>
        <w:t>ex</w:t>
      </w:r>
      <w:r w:rsidRPr="00457618">
        <w:rPr>
          <w:rFonts w:ascii="Times New Roman" w:hAnsi="Times New Roman" w:cs="Times New Roman"/>
          <w:sz w:val="24"/>
          <w:szCs w:val="24"/>
        </w:rPr>
        <w:t xml:space="preserve"> DC.) Sandl.) e guarucaia (</w:t>
      </w:r>
      <w:r w:rsidRPr="00457618">
        <w:rPr>
          <w:rFonts w:ascii="Times New Roman" w:hAnsi="Times New Roman" w:cs="Times New Roman"/>
          <w:i/>
          <w:iCs/>
          <w:sz w:val="24"/>
          <w:szCs w:val="24"/>
        </w:rPr>
        <w:t>Parapiptadenia</w:t>
      </w:r>
      <w:r w:rsidR="00845F4E">
        <w:rPr>
          <w:rFonts w:ascii="Times New Roman" w:hAnsi="Times New Roman" w:cs="Times New Roman"/>
          <w:i/>
          <w:iCs/>
          <w:sz w:val="24"/>
          <w:szCs w:val="24"/>
        </w:rPr>
        <w:t xml:space="preserve"> </w:t>
      </w:r>
      <w:r w:rsidRPr="00457618">
        <w:rPr>
          <w:rFonts w:ascii="Times New Roman" w:hAnsi="Times New Roman" w:cs="Times New Roman"/>
          <w:i/>
          <w:iCs/>
          <w:sz w:val="24"/>
          <w:szCs w:val="24"/>
        </w:rPr>
        <w:t>rigida</w:t>
      </w:r>
      <w:r w:rsidRPr="00457618">
        <w:rPr>
          <w:rFonts w:ascii="Times New Roman" w:hAnsi="Times New Roman" w:cs="Times New Roman"/>
          <w:sz w:val="24"/>
          <w:szCs w:val="24"/>
        </w:rPr>
        <w:t xml:space="preserve"> (Benth.) Brenan). </w:t>
      </w:r>
      <w:r w:rsidRPr="00457618">
        <w:rPr>
          <w:rFonts w:ascii="Times New Roman" w:hAnsi="Times New Roman" w:cs="Times New Roman"/>
          <w:b/>
          <w:bCs/>
          <w:sz w:val="24"/>
          <w:szCs w:val="24"/>
          <w:lang w:val="en-US"/>
        </w:rPr>
        <w:t>Revista Árvore</w:t>
      </w:r>
      <w:r w:rsidRPr="00457618">
        <w:rPr>
          <w:rFonts w:ascii="Times New Roman" w:hAnsi="Times New Roman" w:cs="Times New Roman"/>
          <w:sz w:val="24"/>
          <w:szCs w:val="24"/>
          <w:lang w:val="en-US"/>
        </w:rPr>
        <w:t>, Viçosa, v. 35, n. 3, p. 413-423,2011.</w:t>
      </w:r>
    </w:p>
    <w:p w14:paraId="3D9C391B" w14:textId="77777777"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rPr>
        <w:t xml:space="preserve">FONSECA, E. P.; VALÉRI, S. V.; MIGLIORANZAM E.; FONSECA, N. A. N.; COUTO L. Padrão de qualidade de mudas de </w:t>
      </w:r>
      <w:r w:rsidRPr="00845F4E">
        <w:rPr>
          <w:rFonts w:ascii="Times New Roman" w:hAnsi="Times New Roman" w:cs="Times New Roman"/>
          <w:i/>
          <w:sz w:val="24"/>
          <w:szCs w:val="24"/>
        </w:rPr>
        <w:t>Trema micrantha</w:t>
      </w:r>
      <w:r w:rsidRPr="00457618">
        <w:rPr>
          <w:rFonts w:ascii="Times New Roman" w:hAnsi="Times New Roman" w:cs="Times New Roman"/>
          <w:sz w:val="24"/>
          <w:szCs w:val="24"/>
        </w:rPr>
        <w:t xml:space="preserve"> (L.) Blume, produzidas sob diferentes períodos de sombreamento. </w:t>
      </w:r>
      <w:r w:rsidRPr="00457618">
        <w:rPr>
          <w:rFonts w:ascii="Times New Roman" w:hAnsi="Times New Roman" w:cs="Times New Roman"/>
          <w:b/>
          <w:sz w:val="24"/>
          <w:szCs w:val="24"/>
        </w:rPr>
        <w:t>Revista Árvore</w:t>
      </w:r>
      <w:r w:rsidRPr="00457618">
        <w:rPr>
          <w:rFonts w:ascii="Times New Roman" w:hAnsi="Times New Roman" w:cs="Times New Roman"/>
          <w:sz w:val="24"/>
          <w:szCs w:val="24"/>
        </w:rPr>
        <w:t>, Viçosa, v. 26, p. 515 - 523, 2002.</w:t>
      </w:r>
    </w:p>
    <w:p w14:paraId="2D479A46" w14:textId="5FDD70B0" w:rsidR="002D2D6E" w:rsidRPr="00457618" w:rsidRDefault="002D2D6E" w:rsidP="003211BD">
      <w:pPr>
        <w:spacing w:afterLines="200" w:after="480" w:line="240" w:lineRule="auto"/>
        <w:ind w:left="425" w:hanging="425"/>
        <w:jc w:val="both"/>
        <w:rPr>
          <w:rFonts w:ascii="Times New Roman" w:hAnsi="Times New Roman" w:cs="Times New Roman"/>
          <w:sz w:val="24"/>
          <w:szCs w:val="24"/>
          <w:shd w:val="clear" w:color="auto" w:fill="FFFFFF"/>
        </w:rPr>
      </w:pPr>
      <w:hyperlink r:id="rId12" w:tgtFrame="_blank" w:history="1">
        <w:r w:rsidRPr="00457618">
          <w:rPr>
            <w:rStyle w:val="Hyperlink"/>
            <w:rFonts w:ascii="Times New Roman" w:hAnsi="Times New Roman" w:cs="Times New Roman"/>
            <w:bCs/>
            <w:color w:val="auto"/>
            <w:sz w:val="24"/>
            <w:szCs w:val="24"/>
            <w:u w:val="none"/>
            <w:bdr w:val="none" w:sz="0" w:space="0" w:color="auto" w:frame="1"/>
          </w:rPr>
          <w:t>GARCIA, E. A.</w:t>
        </w:r>
      </w:hyperlink>
      <w:r w:rsidR="00845F4E">
        <w:rPr>
          <w:rFonts w:ascii="Times New Roman" w:hAnsi="Times New Roman" w:cs="Times New Roman"/>
          <w:sz w:val="24"/>
          <w:szCs w:val="24"/>
          <w:shd w:val="clear" w:color="auto" w:fill="FFFFFF"/>
        </w:rPr>
        <w:t>; SOUZA, J. P</w:t>
      </w:r>
      <w:r w:rsidRPr="00457618">
        <w:rPr>
          <w:rFonts w:ascii="Times New Roman" w:hAnsi="Times New Roman" w:cs="Times New Roman"/>
          <w:sz w:val="24"/>
          <w:szCs w:val="24"/>
          <w:shd w:val="clear" w:color="auto" w:fill="FFFFFF"/>
        </w:rPr>
        <w:t xml:space="preserve">. </w:t>
      </w:r>
      <w:r w:rsidR="00845F4E">
        <w:rPr>
          <w:rFonts w:ascii="Times New Roman" w:hAnsi="Times New Roman" w:cs="Times New Roman"/>
          <w:sz w:val="24"/>
          <w:szCs w:val="24"/>
          <w:shd w:val="clear" w:color="auto" w:fill="FFFFFF"/>
        </w:rPr>
        <w:t>A</w:t>
      </w:r>
      <w:r w:rsidR="00845F4E" w:rsidRPr="00457618">
        <w:rPr>
          <w:rFonts w:ascii="Times New Roman" w:hAnsi="Times New Roman" w:cs="Times New Roman"/>
          <w:sz w:val="24"/>
          <w:szCs w:val="24"/>
          <w:shd w:val="clear" w:color="auto" w:fill="FFFFFF"/>
        </w:rPr>
        <w:t>val</w:t>
      </w:r>
      <w:r w:rsidR="00845F4E">
        <w:rPr>
          <w:rFonts w:ascii="Times New Roman" w:hAnsi="Times New Roman" w:cs="Times New Roman"/>
          <w:sz w:val="24"/>
          <w:szCs w:val="24"/>
          <w:shd w:val="clear" w:color="auto" w:fill="FFFFFF"/>
        </w:rPr>
        <w:t xml:space="preserve">iação da qualidade de mudas de </w:t>
      </w:r>
      <w:r w:rsidR="00845F4E" w:rsidRPr="00845F4E">
        <w:rPr>
          <w:rFonts w:ascii="Times New Roman" w:hAnsi="Times New Roman" w:cs="Times New Roman"/>
          <w:i/>
          <w:sz w:val="24"/>
          <w:szCs w:val="24"/>
          <w:shd w:val="clear" w:color="auto" w:fill="FFFFFF"/>
        </w:rPr>
        <w:t>Schizolobium parahyba</w:t>
      </w:r>
      <w:r w:rsidR="00845F4E" w:rsidRPr="00457618">
        <w:rPr>
          <w:rFonts w:ascii="Times New Roman" w:hAnsi="Times New Roman" w:cs="Times New Roman"/>
          <w:sz w:val="24"/>
          <w:szCs w:val="24"/>
          <w:shd w:val="clear" w:color="auto" w:fill="FFFFFF"/>
        </w:rPr>
        <w:t xml:space="preserve"> em</w:t>
      </w:r>
      <w:r w:rsidR="00845F4E">
        <w:rPr>
          <w:rFonts w:ascii="Times New Roman" w:hAnsi="Times New Roman" w:cs="Times New Roman"/>
          <w:sz w:val="24"/>
          <w:szCs w:val="24"/>
          <w:shd w:val="clear" w:color="auto" w:fill="FFFFFF"/>
        </w:rPr>
        <w:t xml:space="preserve"> função de diferentes aplicaçõe</w:t>
      </w:r>
      <w:r w:rsidR="00845F4E" w:rsidRPr="00457618">
        <w:rPr>
          <w:rFonts w:ascii="Times New Roman" w:hAnsi="Times New Roman" w:cs="Times New Roman"/>
          <w:sz w:val="24"/>
          <w:szCs w:val="24"/>
          <w:shd w:val="clear" w:color="auto" w:fill="FFFFFF"/>
        </w:rPr>
        <w:t>s</w:t>
      </w:r>
      <w:r w:rsidR="00845F4E">
        <w:rPr>
          <w:rFonts w:ascii="Times New Roman" w:hAnsi="Times New Roman" w:cs="Times New Roman"/>
          <w:sz w:val="24"/>
          <w:szCs w:val="24"/>
          <w:shd w:val="clear" w:color="auto" w:fill="FFFFFF"/>
        </w:rPr>
        <w:t xml:space="preserve"> </w:t>
      </w:r>
      <w:r w:rsidR="00845F4E" w:rsidRPr="00457618">
        <w:rPr>
          <w:rFonts w:ascii="Times New Roman" w:hAnsi="Times New Roman" w:cs="Times New Roman"/>
          <w:sz w:val="24"/>
          <w:szCs w:val="24"/>
          <w:shd w:val="clear" w:color="auto" w:fill="FFFFFF"/>
        </w:rPr>
        <w:t>de adubo fosfatado</w:t>
      </w:r>
      <w:r w:rsidRPr="00457618">
        <w:rPr>
          <w:rFonts w:ascii="Times New Roman" w:hAnsi="Times New Roman" w:cs="Times New Roman"/>
          <w:sz w:val="24"/>
          <w:szCs w:val="24"/>
          <w:shd w:val="clear" w:color="auto" w:fill="FFFFFF"/>
        </w:rPr>
        <w:t xml:space="preserve">. </w:t>
      </w:r>
      <w:r w:rsidRPr="00845F4E">
        <w:rPr>
          <w:rFonts w:ascii="Times New Roman" w:hAnsi="Times New Roman" w:cs="Times New Roman"/>
          <w:b/>
          <w:sz w:val="24"/>
          <w:szCs w:val="24"/>
          <w:shd w:val="clear" w:color="auto" w:fill="FFFFFF"/>
        </w:rPr>
        <w:t>Tekhne e Logos</w:t>
      </w:r>
      <w:r w:rsidRPr="00457618">
        <w:rPr>
          <w:rFonts w:ascii="Times New Roman" w:hAnsi="Times New Roman" w:cs="Times New Roman"/>
          <w:sz w:val="24"/>
          <w:szCs w:val="24"/>
          <w:shd w:val="clear" w:color="auto" w:fill="FFFFFF"/>
        </w:rPr>
        <w:t xml:space="preserve">, </w:t>
      </w:r>
      <w:r w:rsidR="00845F4E">
        <w:rPr>
          <w:rFonts w:ascii="Times New Roman" w:hAnsi="Times New Roman" w:cs="Times New Roman"/>
          <w:sz w:val="24"/>
          <w:szCs w:val="24"/>
          <w:shd w:val="clear" w:color="auto" w:fill="FFFFFF"/>
        </w:rPr>
        <w:t xml:space="preserve">Botucatu, </w:t>
      </w:r>
      <w:r w:rsidRPr="00457618">
        <w:rPr>
          <w:rFonts w:ascii="Times New Roman" w:hAnsi="Times New Roman" w:cs="Times New Roman"/>
          <w:sz w:val="24"/>
          <w:szCs w:val="24"/>
          <w:shd w:val="clear" w:color="auto" w:fill="FFFFFF"/>
        </w:rPr>
        <w:t>v. 6, p. 51-59, 2015.</w:t>
      </w:r>
    </w:p>
    <w:p w14:paraId="2EF644A0" w14:textId="42A69B45" w:rsidR="002D2D6E" w:rsidRPr="00F4651C" w:rsidRDefault="002D2D6E" w:rsidP="003211BD">
      <w:pPr>
        <w:spacing w:afterLines="200" w:after="480" w:line="240" w:lineRule="auto"/>
        <w:ind w:left="425" w:hanging="425"/>
        <w:jc w:val="both"/>
        <w:rPr>
          <w:rFonts w:ascii="Times New Roman" w:hAnsi="Times New Roman" w:cs="Times New Roman"/>
          <w:sz w:val="24"/>
          <w:szCs w:val="24"/>
          <w:lang w:val="en-US"/>
        </w:rPr>
      </w:pPr>
      <w:hyperlink r:id="rId13" w:tgtFrame="_blank" w:history="1">
        <w:r w:rsidRPr="00457618">
          <w:rPr>
            <w:rStyle w:val="Hyperlink"/>
            <w:rFonts w:ascii="Times New Roman" w:hAnsi="Times New Roman" w:cs="Times New Roman"/>
            <w:bCs/>
            <w:color w:val="auto"/>
            <w:sz w:val="24"/>
            <w:szCs w:val="24"/>
            <w:u w:val="none"/>
            <w:bdr w:val="none" w:sz="0" w:space="0" w:color="auto" w:frame="1"/>
          </w:rPr>
          <w:t>GOMES, D. R.</w:t>
        </w:r>
      </w:hyperlink>
      <w:r w:rsidRPr="00457618">
        <w:rPr>
          <w:rFonts w:ascii="Times New Roman" w:hAnsi="Times New Roman" w:cs="Times New Roman"/>
          <w:sz w:val="24"/>
          <w:szCs w:val="24"/>
          <w:shd w:val="clear" w:color="auto" w:fill="FFFFFF"/>
        </w:rPr>
        <w:t>;</w:t>
      </w:r>
      <w:r w:rsidRPr="00457618">
        <w:rPr>
          <w:rStyle w:val="apple-converted-space"/>
          <w:rFonts w:ascii="Times New Roman" w:hAnsi="Times New Roman" w:cs="Times New Roman"/>
          <w:sz w:val="24"/>
          <w:szCs w:val="24"/>
          <w:shd w:val="clear" w:color="auto" w:fill="FFFFFF"/>
        </w:rPr>
        <w:t> </w:t>
      </w:r>
      <w:hyperlink r:id="rId14" w:tgtFrame="_blank" w:history="1">
        <w:r w:rsidRPr="00457618">
          <w:rPr>
            <w:rStyle w:val="Hyperlink"/>
            <w:rFonts w:ascii="Times New Roman" w:hAnsi="Times New Roman" w:cs="Times New Roman"/>
            <w:color w:val="auto"/>
            <w:sz w:val="24"/>
            <w:szCs w:val="24"/>
            <w:u w:val="none"/>
            <w:bdr w:val="none" w:sz="0" w:space="0" w:color="auto" w:frame="1"/>
            <w:shd w:val="clear" w:color="auto" w:fill="FFFFFF"/>
          </w:rPr>
          <w:t>CALDEIRA, M. V. W.</w:t>
        </w:r>
      </w:hyperlink>
      <w:r w:rsidR="00845F4E">
        <w:rPr>
          <w:rFonts w:ascii="Times New Roman" w:hAnsi="Times New Roman" w:cs="Times New Roman"/>
          <w:sz w:val="24"/>
          <w:szCs w:val="24"/>
          <w:shd w:val="clear" w:color="auto" w:fill="FFFFFF"/>
        </w:rPr>
        <w:t>; DELARMELINA, W. M.</w:t>
      </w:r>
      <w:r w:rsidRPr="00457618">
        <w:rPr>
          <w:rFonts w:ascii="Times New Roman" w:hAnsi="Times New Roman" w:cs="Times New Roman"/>
          <w:sz w:val="24"/>
          <w:szCs w:val="24"/>
          <w:shd w:val="clear" w:color="auto" w:fill="FFFFFF"/>
        </w:rPr>
        <w:t>;</w:t>
      </w:r>
      <w:r w:rsidRPr="00457618">
        <w:rPr>
          <w:rStyle w:val="apple-converted-space"/>
          <w:rFonts w:ascii="Times New Roman" w:hAnsi="Times New Roman" w:cs="Times New Roman"/>
          <w:sz w:val="24"/>
          <w:szCs w:val="24"/>
          <w:shd w:val="clear" w:color="auto" w:fill="FFFFFF"/>
        </w:rPr>
        <w:t> </w:t>
      </w:r>
      <w:hyperlink r:id="rId15" w:tgtFrame="_blank" w:tooltip="Clique para visualizar o currículo" w:history="1">
        <w:r w:rsidRPr="00457618">
          <w:rPr>
            <w:rStyle w:val="Hyperlink"/>
            <w:rFonts w:ascii="Times New Roman" w:hAnsi="Times New Roman" w:cs="Times New Roman"/>
            <w:color w:val="auto"/>
            <w:sz w:val="24"/>
            <w:szCs w:val="24"/>
            <w:u w:val="none"/>
            <w:bdr w:val="none" w:sz="0" w:space="0" w:color="auto" w:frame="1"/>
            <w:shd w:val="clear" w:color="auto" w:fill="FFFFFF"/>
          </w:rPr>
          <w:t>GONCALVES, E. O.</w:t>
        </w:r>
      </w:hyperlink>
      <w:r w:rsidRPr="00457618">
        <w:rPr>
          <w:rFonts w:ascii="Times New Roman" w:hAnsi="Times New Roman" w:cs="Times New Roman"/>
          <w:sz w:val="24"/>
          <w:szCs w:val="24"/>
          <w:shd w:val="clear" w:color="auto" w:fill="FFFFFF"/>
        </w:rPr>
        <w:t xml:space="preserve">; TRAZZI, P. A. . Lodo de esgoto como substrato para produção de mudas de </w:t>
      </w:r>
      <w:r w:rsidRPr="00845F4E">
        <w:rPr>
          <w:rFonts w:ascii="Times New Roman" w:hAnsi="Times New Roman" w:cs="Times New Roman"/>
          <w:i/>
          <w:sz w:val="24"/>
          <w:szCs w:val="24"/>
          <w:shd w:val="clear" w:color="auto" w:fill="FFFFFF"/>
        </w:rPr>
        <w:t>Tectona grandis</w:t>
      </w:r>
      <w:r w:rsidR="00845F4E">
        <w:rPr>
          <w:rFonts w:ascii="Times New Roman" w:hAnsi="Times New Roman" w:cs="Times New Roman"/>
          <w:sz w:val="24"/>
          <w:szCs w:val="24"/>
          <w:shd w:val="clear" w:color="auto" w:fill="FFFFFF"/>
        </w:rPr>
        <w:t xml:space="preserve"> L..</w:t>
      </w:r>
      <w:r w:rsidR="006C4699">
        <w:rPr>
          <w:rFonts w:ascii="Times New Roman" w:hAnsi="Times New Roman" w:cs="Times New Roman"/>
          <w:sz w:val="24"/>
          <w:szCs w:val="24"/>
          <w:shd w:val="clear" w:color="auto" w:fill="FFFFFF"/>
        </w:rPr>
        <w:t xml:space="preserve"> </w:t>
      </w:r>
      <w:r w:rsidR="006C4699" w:rsidRPr="00F4651C">
        <w:rPr>
          <w:rFonts w:ascii="Times New Roman" w:hAnsi="Times New Roman" w:cs="Times New Roman"/>
          <w:b/>
          <w:sz w:val="24"/>
          <w:szCs w:val="24"/>
          <w:shd w:val="clear" w:color="auto" w:fill="FFFFFF"/>
          <w:lang w:val="en-US"/>
        </w:rPr>
        <w:t>Cerne</w:t>
      </w:r>
      <w:r w:rsidRPr="00F4651C">
        <w:rPr>
          <w:rFonts w:ascii="Times New Roman" w:hAnsi="Times New Roman" w:cs="Times New Roman"/>
          <w:sz w:val="24"/>
          <w:szCs w:val="24"/>
          <w:shd w:val="clear" w:color="auto" w:fill="FFFFFF"/>
          <w:lang w:val="en-US"/>
        </w:rPr>
        <w:t xml:space="preserve">, </w:t>
      </w:r>
      <w:r w:rsidR="006C4699" w:rsidRPr="00F4651C">
        <w:rPr>
          <w:rFonts w:ascii="Times New Roman" w:hAnsi="Times New Roman" w:cs="Times New Roman"/>
          <w:sz w:val="24"/>
          <w:szCs w:val="24"/>
          <w:shd w:val="clear" w:color="auto" w:fill="FFFFFF"/>
          <w:lang w:val="en-US"/>
        </w:rPr>
        <w:t xml:space="preserve">Lavras, </w:t>
      </w:r>
      <w:r w:rsidRPr="00F4651C">
        <w:rPr>
          <w:rFonts w:ascii="Times New Roman" w:hAnsi="Times New Roman" w:cs="Times New Roman"/>
          <w:sz w:val="24"/>
          <w:szCs w:val="24"/>
          <w:shd w:val="clear" w:color="auto" w:fill="FFFFFF"/>
          <w:lang w:val="en-US"/>
        </w:rPr>
        <w:t>v. 19, p. 123-131, 2013.</w:t>
      </w:r>
    </w:p>
    <w:p w14:paraId="38B375C2" w14:textId="1D1CDB20" w:rsidR="002D2D6E" w:rsidRPr="00092AD4"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lang w:val="en-US"/>
        </w:rPr>
        <w:t>HUNT, G.A. Eff</w:t>
      </w:r>
      <w:r w:rsidR="00F4651C">
        <w:rPr>
          <w:rFonts w:ascii="Times New Roman" w:hAnsi="Times New Roman" w:cs="Times New Roman"/>
          <w:sz w:val="24"/>
          <w:szCs w:val="24"/>
          <w:lang w:val="en-US"/>
        </w:rPr>
        <w:t>ect of styroblock design and copp</w:t>
      </w:r>
      <w:r w:rsidRPr="00457618">
        <w:rPr>
          <w:rFonts w:ascii="Times New Roman" w:hAnsi="Times New Roman" w:cs="Times New Roman"/>
          <w:sz w:val="24"/>
          <w:szCs w:val="24"/>
          <w:lang w:val="en-US"/>
        </w:rPr>
        <w:t>er treatment on morphology of conifer seedlings. In: TARGET SEEDLING SYMPOSIUM, MEETING OF THE WESTERN FOREST NURSERY ASSOCIATIONS, GENERAL TECHNICHAL REPORT RM-200, 1990, Roseburg</w:t>
      </w:r>
      <w:r w:rsidR="00646718">
        <w:rPr>
          <w:rFonts w:ascii="Times New Roman" w:hAnsi="Times New Roman" w:cs="Times New Roman"/>
          <w:sz w:val="24"/>
          <w:szCs w:val="24"/>
          <w:lang w:val="en-US"/>
        </w:rPr>
        <w:t xml:space="preserve"> - OR</w:t>
      </w:r>
      <w:r w:rsidRPr="00457618">
        <w:rPr>
          <w:rFonts w:ascii="Times New Roman" w:hAnsi="Times New Roman" w:cs="Times New Roman"/>
          <w:sz w:val="24"/>
          <w:szCs w:val="24"/>
          <w:lang w:val="en-US"/>
        </w:rPr>
        <w:t xml:space="preserve">. Fort Collins: </w:t>
      </w:r>
      <w:r w:rsidRPr="00092AD4">
        <w:rPr>
          <w:rFonts w:ascii="Times New Roman" w:hAnsi="Times New Roman" w:cs="Times New Roman"/>
          <w:b/>
          <w:sz w:val="24"/>
          <w:szCs w:val="24"/>
          <w:lang w:val="en-US"/>
        </w:rPr>
        <w:t xml:space="preserve">United States </w:t>
      </w:r>
      <w:r w:rsidR="00646718" w:rsidRPr="00092AD4">
        <w:rPr>
          <w:rFonts w:ascii="Times New Roman" w:hAnsi="Times New Roman" w:cs="Times New Roman"/>
          <w:b/>
          <w:sz w:val="24"/>
          <w:szCs w:val="24"/>
          <w:lang w:val="en-US"/>
        </w:rPr>
        <w:t>Department</w:t>
      </w:r>
      <w:r w:rsidRPr="00092AD4">
        <w:rPr>
          <w:rFonts w:ascii="Times New Roman" w:hAnsi="Times New Roman" w:cs="Times New Roman"/>
          <w:b/>
          <w:sz w:val="24"/>
          <w:szCs w:val="24"/>
          <w:lang w:val="en-US"/>
        </w:rPr>
        <w:t xml:space="preserve"> of Agriculture</w:t>
      </w:r>
      <w:r w:rsidR="00646718">
        <w:rPr>
          <w:rFonts w:ascii="Times New Roman" w:hAnsi="Times New Roman" w:cs="Times New Roman"/>
          <w:sz w:val="24"/>
          <w:szCs w:val="24"/>
          <w:lang w:val="en-US"/>
        </w:rPr>
        <w:t xml:space="preserve">, Roseburg: </w:t>
      </w:r>
      <w:r w:rsidR="00646718">
        <w:rPr>
          <w:rFonts w:ascii="Times New Roman" w:hAnsi="Times New Roman" w:cs="Times New Roman"/>
          <w:sz w:val="24"/>
          <w:szCs w:val="24"/>
          <w:lang w:val="en-US"/>
        </w:rPr>
        <w:t>Forest Service</w:t>
      </w:r>
      <w:r w:rsidR="00646718">
        <w:rPr>
          <w:rFonts w:ascii="Times New Roman" w:hAnsi="Times New Roman" w:cs="Times New Roman"/>
          <w:sz w:val="24"/>
          <w:szCs w:val="24"/>
          <w:lang w:val="en-US"/>
        </w:rPr>
        <w:t>,</w:t>
      </w:r>
      <w:r w:rsidRPr="00457618">
        <w:rPr>
          <w:rFonts w:ascii="Times New Roman" w:hAnsi="Times New Roman" w:cs="Times New Roman"/>
          <w:sz w:val="24"/>
          <w:szCs w:val="24"/>
          <w:lang w:val="en-US"/>
        </w:rPr>
        <w:t xml:space="preserve"> 1990.</w:t>
      </w:r>
      <w:r w:rsidR="00646718">
        <w:rPr>
          <w:rFonts w:ascii="Times New Roman" w:hAnsi="Times New Roman" w:cs="Times New Roman"/>
          <w:sz w:val="24"/>
          <w:szCs w:val="24"/>
          <w:lang w:val="en-US"/>
        </w:rPr>
        <w:t xml:space="preserve"> </w:t>
      </w:r>
      <w:r w:rsidR="00092AD4" w:rsidRPr="00646718">
        <w:rPr>
          <w:rFonts w:ascii="Times New Roman" w:hAnsi="Times New Roman" w:cs="Times New Roman"/>
          <w:sz w:val="24"/>
          <w:szCs w:val="24"/>
        </w:rPr>
        <w:t>Disponível em: &lt;</w:t>
      </w:r>
      <w:hyperlink r:id="rId16" w:history="1">
        <w:r w:rsidR="00092AD4" w:rsidRPr="00646718">
          <w:rPr>
            <w:rStyle w:val="Hyperlink"/>
            <w:rFonts w:ascii="Times New Roman" w:hAnsi="Times New Roman" w:cs="Times New Roman"/>
            <w:sz w:val="24"/>
            <w:szCs w:val="24"/>
          </w:rPr>
          <w:t>http://www.fs.fe</w:t>
        </w:r>
        <w:r w:rsidR="00092AD4" w:rsidRPr="007A761F">
          <w:rPr>
            <w:rStyle w:val="Hyperlink"/>
            <w:rFonts w:ascii="Times New Roman" w:hAnsi="Times New Roman" w:cs="Times New Roman"/>
            <w:sz w:val="24"/>
            <w:szCs w:val="24"/>
          </w:rPr>
          <w:t>d.us/rm/pubs_rm/rm_gtr200/rm_gtr200_218_222.pdf</w:t>
        </w:r>
      </w:hyperlink>
      <w:r w:rsidR="00092AD4">
        <w:rPr>
          <w:rFonts w:ascii="Times New Roman" w:hAnsi="Times New Roman" w:cs="Times New Roman"/>
          <w:sz w:val="24"/>
          <w:szCs w:val="24"/>
        </w:rPr>
        <w:t>&gt;. Acesso em: 25 ago. 2016.</w:t>
      </w:r>
    </w:p>
    <w:p w14:paraId="57B95FD4" w14:textId="58E8E34A" w:rsidR="002D2D6E" w:rsidRPr="00457618" w:rsidRDefault="002D2D6E" w:rsidP="003211BD">
      <w:pPr>
        <w:spacing w:afterLines="200" w:after="480" w:line="240" w:lineRule="auto"/>
        <w:ind w:left="425" w:hanging="425"/>
        <w:jc w:val="both"/>
        <w:rPr>
          <w:rFonts w:ascii="Times New Roman" w:hAnsi="Times New Roman" w:cs="Times New Roman"/>
          <w:sz w:val="24"/>
          <w:szCs w:val="24"/>
          <w:shd w:val="clear" w:color="auto" w:fill="FFFFFF"/>
        </w:rPr>
      </w:pPr>
      <w:hyperlink r:id="rId17" w:tgtFrame="_blank" w:history="1">
        <w:r w:rsidRPr="00457618">
          <w:rPr>
            <w:rStyle w:val="Hyperlink"/>
            <w:rFonts w:ascii="Times New Roman" w:hAnsi="Times New Roman" w:cs="Times New Roman"/>
            <w:bCs/>
            <w:color w:val="auto"/>
            <w:sz w:val="24"/>
            <w:szCs w:val="24"/>
            <w:u w:val="none"/>
            <w:bdr w:val="none" w:sz="0" w:space="0" w:color="auto" w:frame="1"/>
          </w:rPr>
          <w:t>LELES, P. S. S.</w:t>
        </w:r>
      </w:hyperlink>
      <w:r w:rsidRPr="00457618">
        <w:rPr>
          <w:rFonts w:ascii="Times New Roman" w:hAnsi="Times New Roman" w:cs="Times New Roman"/>
          <w:sz w:val="24"/>
          <w:szCs w:val="24"/>
          <w:shd w:val="clear" w:color="auto" w:fill="FFFFFF"/>
        </w:rPr>
        <w:t>; LISBOA, A. C. ;</w:t>
      </w:r>
      <w:r w:rsidRPr="00457618">
        <w:rPr>
          <w:rStyle w:val="apple-converted-space"/>
          <w:rFonts w:ascii="Times New Roman" w:hAnsi="Times New Roman" w:cs="Times New Roman"/>
          <w:sz w:val="24"/>
          <w:szCs w:val="24"/>
          <w:shd w:val="clear" w:color="auto" w:fill="FFFFFF"/>
        </w:rPr>
        <w:t> </w:t>
      </w:r>
      <w:hyperlink r:id="rId18" w:tgtFrame="_blank" w:tooltip="Clique para visualizar o currículo" w:history="1">
        <w:r w:rsidRPr="00457618">
          <w:rPr>
            <w:rStyle w:val="Hyperlink"/>
            <w:rFonts w:ascii="Times New Roman" w:hAnsi="Times New Roman" w:cs="Times New Roman"/>
            <w:color w:val="auto"/>
            <w:sz w:val="24"/>
            <w:szCs w:val="24"/>
            <w:u w:val="none"/>
            <w:bdr w:val="none" w:sz="0" w:space="0" w:color="auto" w:frame="1"/>
            <w:shd w:val="clear" w:color="auto" w:fill="FFFFFF"/>
          </w:rPr>
          <w:t>OLIVEIRA NETO, S. N.</w:t>
        </w:r>
      </w:hyperlink>
      <w:r w:rsidRPr="00457618">
        <w:rPr>
          <w:rStyle w:val="apple-converted-space"/>
          <w:rFonts w:ascii="Times New Roman" w:hAnsi="Times New Roman" w:cs="Times New Roman"/>
          <w:sz w:val="24"/>
          <w:szCs w:val="24"/>
          <w:shd w:val="clear" w:color="auto" w:fill="FFFFFF"/>
        </w:rPr>
        <w:t> </w:t>
      </w:r>
      <w:r w:rsidRPr="00457618">
        <w:rPr>
          <w:rFonts w:ascii="Times New Roman" w:hAnsi="Times New Roman" w:cs="Times New Roman"/>
          <w:sz w:val="24"/>
          <w:szCs w:val="24"/>
          <w:shd w:val="clear" w:color="auto" w:fill="FFFFFF"/>
        </w:rPr>
        <w:t>;</w:t>
      </w:r>
      <w:r w:rsidRPr="00457618">
        <w:rPr>
          <w:rStyle w:val="apple-converted-space"/>
          <w:rFonts w:ascii="Times New Roman" w:hAnsi="Times New Roman" w:cs="Times New Roman"/>
          <w:sz w:val="24"/>
          <w:szCs w:val="24"/>
          <w:shd w:val="clear" w:color="auto" w:fill="FFFFFF"/>
        </w:rPr>
        <w:t> </w:t>
      </w:r>
      <w:hyperlink r:id="rId19" w:tgtFrame="_blank" w:tooltip="Clique para visualizar o currículo" w:history="1">
        <w:r w:rsidRPr="00457618">
          <w:rPr>
            <w:rStyle w:val="Hyperlink"/>
            <w:rFonts w:ascii="Times New Roman" w:hAnsi="Times New Roman" w:cs="Times New Roman"/>
            <w:color w:val="auto"/>
            <w:sz w:val="24"/>
            <w:szCs w:val="24"/>
            <w:u w:val="none"/>
            <w:bdr w:val="none" w:sz="0" w:space="0" w:color="auto" w:frame="1"/>
            <w:shd w:val="clear" w:color="auto" w:fill="FFFFFF"/>
          </w:rPr>
          <w:t>GRUGIKI, M.A.</w:t>
        </w:r>
      </w:hyperlink>
      <w:r w:rsidRPr="00457618">
        <w:rPr>
          <w:rStyle w:val="apple-converted-space"/>
          <w:rFonts w:ascii="Times New Roman" w:hAnsi="Times New Roman" w:cs="Times New Roman"/>
          <w:sz w:val="24"/>
          <w:szCs w:val="24"/>
          <w:shd w:val="clear" w:color="auto" w:fill="FFFFFF"/>
        </w:rPr>
        <w:t> </w:t>
      </w:r>
      <w:r w:rsidRPr="00457618">
        <w:rPr>
          <w:rFonts w:ascii="Times New Roman" w:hAnsi="Times New Roman" w:cs="Times New Roman"/>
          <w:sz w:val="24"/>
          <w:szCs w:val="24"/>
          <w:shd w:val="clear" w:color="auto" w:fill="FFFFFF"/>
        </w:rPr>
        <w:t>;</w:t>
      </w:r>
      <w:r w:rsidRPr="00457618">
        <w:rPr>
          <w:rStyle w:val="apple-converted-space"/>
          <w:rFonts w:ascii="Times New Roman" w:hAnsi="Times New Roman" w:cs="Times New Roman"/>
          <w:sz w:val="24"/>
          <w:szCs w:val="24"/>
          <w:shd w:val="clear" w:color="auto" w:fill="FFFFFF"/>
        </w:rPr>
        <w:t> </w:t>
      </w:r>
      <w:hyperlink r:id="rId20" w:tgtFrame="_blank" w:tooltip="Clique para visualizar o currículo" w:history="1">
        <w:r w:rsidRPr="00457618">
          <w:rPr>
            <w:rStyle w:val="Hyperlink"/>
            <w:rFonts w:ascii="Times New Roman" w:hAnsi="Times New Roman" w:cs="Times New Roman"/>
            <w:color w:val="auto"/>
            <w:sz w:val="24"/>
            <w:szCs w:val="24"/>
            <w:u w:val="none"/>
            <w:bdr w:val="none" w:sz="0" w:space="0" w:color="auto" w:frame="1"/>
            <w:shd w:val="clear" w:color="auto" w:fill="FFFFFF"/>
          </w:rPr>
          <w:t>FERREIRA, M. A.</w:t>
        </w:r>
      </w:hyperlink>
      <w:r w:rsidRPr="00457618">
        <w:rPr>
          <w:rStyle w:val="apple-converted-space"/>
          <w:rFonts w:ascii="Times New Roman" w:hAnsi="Times New Roman" w:cs="Times New Roman"/>
          <w:sz w:val="24"/>
          <w:szCs w:val="24"/>
          <w:shd w:val="clear" w:color="auto" w:fill="FFFFFF"/>
        </w:rPr>
        <w:t> </w:t>
      </w:r>
      <w:r w:rsidRPr="00457618">
        <w:rPr>
          <w:rFonts w:ascii="Times New Roman" w:hAnsi="Times New Roman" w:cs="Times New Roman"/>
          <w:sz w:val="24"/>
          <w:szCs w:val="24"/>
          <w:shd w:val="clear" w:color="auto" w:fill="FFFFFF"/>
        </w:rPr>
        <w:t xml:space="preserve">. Qualidade de mudas de quatro espécies florestais em diferentes tubetes. </w:t>
      </w:r>
      <w:r w:rsidRPr="00180448">
        <w:rPr>
          <w:rFonts w:ascii="Times New Roman" w:hAnsi="Times New Roman" w:cs="Times New Roman"/>
          <w:b/>
          <w:sz w:val="24"/>
          <w:szCs w:val="24"/>
          <w:shd w:val="clear" w:color="auto" w:fill="FFFFFF"/>
        </w:rPr>
        <w:t>Floresta e Ambiente</w:t>
      </w:r>
      <w:r w:rsidRPr="00457618">
        <w:rPr>
          <w:rFonts w:ascii="Times New Roman" w:hAnsi="Times New Roman" w:cs="Times New Roman"/>
          <w:sz w:val="24"/>
          <w:szCs w:val="24"/>
          <w:shd w:val="clear" w:color="auto" w:fill="FFFFFF"/>
        </w:rPr>
        <w:t xml:space="preserve">, </w:t>
      </w:r>
      <w:r w:rsidR="00180448">
        <w:rPr>
          <w:rFonts w:ascii="Times New Roman" w:hAnsi="Times New Roman" w:cs="Times New Roman"/>
          <w:sz w:val="24"/>
          <w:szCs w:val="24"/>
          <w:shd w:val="clear" w:color="auto" w:fill="FFFFFF"/>
        </w:rPr>
        <w:t xml:space="preserve">Seropédica, </w:t>
      </w:r>
      <w:r w:rsidRPr="00457618">
        <w:rPr>
          <w:rFonts w:ascii="Times New Roman" w:hAnsi="Times New Roman" w:cs="Times New Roman"/>
          <w:sz w:val="24"/>
          <w:szCs w:val="24"/>
          <w:shd w:val="clear" w:color="auto" w:fill="FFFFFF"/>
        </w:rPr>
        <w:t>v. 13, p. 69-78, 2006.</w:t>
      </w:r>
    </w:p>
    <w:p w14:paraId="7D9E255F" w14:textId="271F2274" w:rsidR="002D2D6E" w:rsidRPr="001554C1" w:rsidRDefault="001554C1" w:rsidP="003211BD">
      <w:pPr>
        <w:spacing w:afterLines="200" w:after="480" w:line="240" w:lineRule="auto"/>
        <w:ind w:left="425" w:hanging="425"/>
        <w:jc w:val="both"/>
        <w:rPr>
          <w:rFonts w:ascii="Times New Roman" w:hAnsi="Times New Roman" w:cs="Times New Roman"/>
          <w:sz w:val="24"/>
          <w:szCs w:val="24"/>
          <w:shd w:val="clear" w:color="auto" w:fill="FFFFFF"/>
        </w:rPr>
      </w:pPr>
      <w:r w:rsidRPr="00457618">
        <w:rPr>
          <w:rFonts w:ascii="Times New Roman" w:hAnsi="Times New Roman" w:cs="Times New Roman"/>
          <w:sz w:val="24"/>
          <w:szCs w:val="24"/>
          <w:shd w:val="clear" w:color="auto" w:fill="FFFFFF"/>
        </w:rPr>
        <w:t>MARANA</w:t>
      </w:r>
      <w:r>
        <w:rPr>
          <w:rFonts w:ascii="Times New Roman" w:hAnsi="Times New Roman" w:cs="Times New Roman"/>
          <w:sz w:val="24"/>
          <w:szCs w:val="24"/>
          <w:shd w:val="clear" w:color="auto" w:fill="FFFFFF"/>
        </w:rPr>
        <w:t>, J. P.;</w:t>
      </w:r>
      <w:r w:rsidR="002D2D6E" w:rsidRPr="0045761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MIGLIORANZA, É.; FONSECA, É.</w:t>
      </w:r>
      <w:r w:rsidR="00343D22">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w:t>
      </w:r>
      <w:r w:rsidRPr="00457618">
        <w:rPr>
          <w:rFonts w:ascii="Times New Roman" w:hAnsi="Times New Roman" w:cs="Times New Roman"/>
          <w:sz w:val="24"/>
          <w:szCs w:val="24"/>
          <w:shd w:val="clear" w:color="auto" w:fill="FFFFFF"/>
        </w:rPr>
        <w:t xml:space="preserve"> KAINUMA, R</w:t>
      </w:r>
      <w:r>
        <w:rPr>
          <w:rFonts w:ascii="Times New Roman" w:hAnsi="Times New Roman" w:cs="Times New Roman"/>
          <w:sz w:val="24"/>
          <w:szCs w:val="24"/>
          <w:shd w:val="clear" w:color="auto" w:fill="FFFFFF"/>
        </w:rPr>
        <w:t>. H</w:t>
      </w:r>
      <w:r w:rsidR="002D2D6E" w:rsidRPr="00457618">
        <w:rPr>
          <w:rFonts w:ascii="Times New Roman" w:hAnsi="Times New Roman" w:cs="Times New Roman"/>
          <w:sz w:val="24"/>
          <w:szCs w:val="24"/>
          <w:shd w:val="clear" w:color="auto" w:fill="FFFFFF"/>
        </w:rPr>
        <w:t>. Índices de qualidade e crescimento de mudas de café produzidas em tubetes.</w:t>
      </w:r>
      <w:r w:rsidR="002D2D6E" w:rsidRPr="00457618">
        <w:rPr>
          <w:rStyle w:val="apple-converted-space"/>
          <w:rFonts w:ascii="Times New Roman" w:hAnsi="Times New Roman" w:cs="Times New Roman"/>
          <w:sz w:val="24"/>
          <w:szCs w:val="24"/>
          <w:shd w:val="clear" w:color="auto" w:fill="FFFFFF"/>
        </w:rPr>
        <w:t> </w:t>
      </w:r>
      <w:r w:rsidR="002D2D6E" w:rsidRPr="001554C1">
        <w:rPr>
          <w:rFonts w:ascii="Times New Roman" w:hAnsi="Times New Roman" w:cs="Times New Roman"/>
          <w:b/>
          <w:iCs/>
          <w:sz w:val="24"/>
          <w:szCs w:val="24"/>
          <w:shd w:val="clear" w:color="auto" w:fill="FFFFFF"/>
        </w:rPr>
        <w:t>Ciência Rural</w:t>
      </w:r>
      <w:r w:rsidR="002D2D6E" w:rsidRPr="001554C1">
        <w:rPr>
          <w:rFonts w:ascii="Times New Roman" w:hAnsi="Times New Roman" w:cs="Times New Roman"/>
          <w:sz w:val="24"/>
          <w:szCs w:val="24"/>
          <w:shd w:val="clear" w:color="auto" w:fill="FFFFFF"/>
        </w:rPr>
        <w:t>,</w:t>
      </w:r>
      <w:r w:rsidR="002D2D6E" w:rsidRPr="001554C1">
        <w:rPr>
          <w:rStyle w:val="apple-converted-space"/>
          <w:rFonts w:ascii="Times New Roman" w:hAnsi="Times New Roman" w:cs="Times New Roman"/>
          <w:sz w:val="24"/>
          <w:szCs w:val="24"/>
          <w:shd w:val="clear" w:color="auto" w:fill="FFFFFF"/>
        </w:rPr>
        <w:t> </w:t>
      </w:r>
      <w:r w:rsidRPr="001554C1">
        <w:rPr>
          <w:rStyle w:val="apple-converted-space"/>
          <w:rFonts w:ascii="Times New Roman" w:hAnsi="Times New Roman" w:cs="Times New Roman"/>
          <w:sz w:val="24"/>
          <w:szCs w:val="24"/>
          <w:shd w:val="clear" w:color="auto" w:fill="FFFFFF"/>
        </w:rPr>
        <w:t xml:space="preserve">Santa Maria, v. </w:t>
      </w:r>
      <w:r w:rsidR="002D2D6E" w:rsidRPr="001554C1">
        <w:rPr>
          <w:rFonts w:ascii="Times New Roman" w:hAnsi="Times New Roman" w:cs="Times New Roman"/>
          <w:iCs/>
          <w:sz w:val="24"/>
          <w:szCs w:val="24"/>
          <w:shd w:val="clear" w:color="auto" w:fill="FFFFFF"/>
        </w:rPr>
        <w:t>38</w:t>
      </w:r>
      <w:r w:rsidRPr="001554C1">
        <w:rPr>
          <w:rFonts w:ascii="Times New Roman" w:hAnsi="Times New Roman" w:cs="Times New Roman"/>
          <w:sz w:val="24"/>
          <w:szCs w:val="24"/>
          <w:shd w:val="clear" w:color="auto" w:fill="FFFFFF"/>
        </w:rPr>
        <w:t xml:space="preserve">, n. </w:t>
      </w:r>
      <w:r w:rsidR="002D2D6E" w:rsidRPr="001554C1">
        <w:rPr>
          <w:rFonts w:ascii="Times New Roman" w:hAnsi="Times New Roman" w:cs="Times New Roman"/>
          <w:sz w:val="24"/>
          <w:szCs w:val="24"/>
          <w:shd w:val="clear" w:color="auto" w:fill="FFFFFF"/>
        </w:rPr>
        <w:t xml:space="preserve">1, </w:t>
      </w:r>
      <w:r w:rsidRPr="001554C1">
        <w:rPr>
          <w:rFonts w:ascii="Times New Roman" w:hAnsi="Times New Roman" w:cs="Times New Roman"/>
          <w:sz w:val="24"/>
          <w:szCs w:val="24"/>
          <w:shd w:val="clear" w:color="auto" w:fill="FFFFFF"/>
        </w:rPr>
        <w:t xml:space="preserve">p. </w:t>
      </w:r>
      <w:r w:rsidR="002D2D6E" w:rsidRPr="001554C1">
        <w:rPr>
          <w:rFonts w:ascii="Times New Roman" w:hAnsi="Times New Roman" w:cs="Times New Roman"/>
          <w:sz w:val="24"/>
          <w:szCs w:val="24"/>
          <w:shd w:val="clear" w:color="auto" w:fill="FFFFFF"/>
        </w:rPr>
        <w:t>39-45</w:t>
      </w:r>
      <w:r w:rsidRPr="001554C1">
        <w:rPr>
          <w:rFonts w:ascii="Times New Roman" w:hAnsi="Times New Roman" w:cs="Times New Roman"/>
          <w:sz w:val="24"/>
          <w:szCs w:val="24"/>
          <w:shd w:val="clear" w:color="auto" w:fill="FFFFFF"/>
        </w:rPr>
        <w:t>, 2008</w:t>
      </w:r>
      <w:r w:rsidR="002D2D6E" w:rsidRPr="001554C1">
        <w:rPr>
          <w:rFonts w:ascii="Times New Roman" w:hAnsi="Times New Roman" w:cs="Times New Roman"/>
          <w:sz w:val="24"/>
          <w:szCs w:val="24"/>
          <w:shd w:val="clear" w:color="auto" w:fill="FFFFFF"/>
        </w:rPr>
        <w:t>.</w:t>
      </w:r>
    </w:p>
    <w:p w14:paraId="370CBA27" w14:textId="77777777" w:rsidR="002D2D6E" w:rsidRPr="001554C1" w:rsidRDefault="002D2D6E" w:rsidP="003211BD">
      <w:pPr>
        <w:spacing w:afterLines="200" w:after="480" w:line="240" w:lineRule="auto"/>
        <w:ind w:left="425" w:hanging="425"/>
        <w:jc w:val="both"/>
        <w:rPr>
          <w:rFonts w:ascii="Times New Roman" w:hAnsi="Times New Roman" w:cs="Times New Roman"/>
          <w:sz w:val="24"/>
          <w:szCs w:val="24"/>
        </w:rPr>
      </w:pPr>
      <w:r w:rsidRPr="001554C1">
        <w:rPr>
          <w:rFonts w:ascii="Times New Roman" w:hAnsi="Times New Roman" w:cs="Times New Roman"/>
          <w:sz w:val="24"/>
          <w:szCs w:val="24"/>
        </w:rPr>
        <w:t xml:space="preserve">MARSCHNER, H. </w:t>
      </w:r>
      <w:r w:rsidRPr="00BA79B9">
        <w:rPr>
          <w:rFonts w:ascii="Times New Roman" w:hAnsi="Times New Roman" w:cs="Times New Roman"/>
          <w:b/>
          <w:sz w:val="24"/>
          <w:szCs w:val="24"/>
        </w:rPr>
        <w:t>Mineral nutrition of higher plants</w:t>
      </w:r>
      <w:r w:rsidRPr="001554C1">
        <w:rPr>
          <w:rFonts w:ascii="Times New Roman" w:hAnsi="Times New Roman" w:cs="Times New Roman"/>
          <w:sz w:val="24"/>
          <w:szCs w:val="24"/>
        </w:rPr>
        <w:t>. 2.ed. San Diego: Academic, 1997. 889p.</w:t>
      </w:r>
    </w:p>
    <w:p w14:paraId="7E4E41C1" w14:textId="63976C04"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hyperlink r:id="rId21" w:tgtFrame="_blank" w:history="1">
        <w:r w:rsidRPr="00457618">
          <w:rPr>
            <w:rStyle w:val="Hyperlink"/>
            <w:rFonts w:ascii="Times New Roman" w:hAnsi="Times New Roman" w:cs="Times New Roman"/>
            <w:bCs/>
            <w:color w:val="auto"/>
            <w:sz w:val="24"/>
            <w:szCs w:val="24"/>
            <w:u w:val="none"/>
            <w:bdr w:val="none" w:sz="0" w:space="0" w:color="auto" w:frame="1"/>
            <w:lang w:val="en-US"/>
          </w:rPr>
          <w:t>SCHWENGBER, J. E.</w:t>
        </w:r>
      </w:hyperlink>
      <w:r w:rsidRPr="00457618">
        <w:rPr>
          <w:rFonts w:ascii="Times New Roman" w:hAnsi="Times New Roman" w:cs="Times New Roman"/>
          <w:sz w:val="24"/>
          <w:szCs w:val="24"/>
          <w:shd w:val="clear" w:color="auto" w:fill="FFFFFF"/>
          <w:lang w:val="en-US"/>
        </w:rPr>
        <w:t>;</w:t>
      </w:r>
      <w:r w:rsidRPr="00457618">
        <w:rPr>
          <w:rStyle w:val="apple-converted-space"/>
          <w:rFonts w:ascii="Times New Roman" w:hAnsi="Times New Roman" w:cs="Times New Roman"/>
          <w:sz w:val="24"/>
          <w:szCs w:val="24"/>
          <w:shd w:val="clear" w:color="auto" w:fill="FFFFFF"/>
          <w:lang w:val="en-US"/>
        </w:rPr>
        <w:t> </w:t>
      </w:r>
      <w:hyperlink r:id="rId22" w:tgtFrame="_blank" w:history="1">
        <w:r w:rsidRPr="00457618">
          <w:rPr>
            <w:rStyle w:val="Hyperlink"/>
            <w:rFonts w:ascii="Times New Roman" w:hAnsi="Times New Roman" w:cs="Times New Roman"/>
            <w:color w:val="auto"/>
            <w:sz w:val="24"/>
            <w:szCs w:val="24"/>
            <w:u w:val="none"/>
            <w:bdr w:val="none" w:sz="0" w:space="0" w:color="auto" w:frame="1"/>
            <w:shd w:val="clear" w:color="auto" w:fill="FFFFFF"/>
            <w:lang w:val="en-US"/>
          </w:rPr>
          <w:t>TONIETTO, A.</w:t>
        </w:r>
      </w:hyperlink>
      <w:r w:rsidRPr="00BA79B9">
        <w:rPr>
          <w:rFonts w:ascii="Times New Roman" w:hAnsi="Times New Roman" w:cs="Times New Roman"/>
          <w:sz w:val="24"/>
          <w:szCs w:val="24"/>
          <w:shd w:val="clear" w:color="auto" w:fill="FFFFFF"/>
          <w:lang w:val="en-US"/>
        </w:rPr>
        <w:t>;</w:t>
      </w:r>
      <w:r w:rsidRPr="00BA79B9">
        <w:rPr>
          <w:rStyle w:val="apple-converted-space"/>
          <w:rFonts w:ascii="Times New Roman" w:hAnsi="Times New Roman" w:cs="Times New Roman"/>
          <w:sz w:val="24"/>
          <w:szCs w:val="24"/>
          <w:shd w:val="clear" w:color="auto" w:fill="FFFFFF"/>
          <w:lang w:val="en-US"/>
        </w:rPr>
        <w:t> </w:t>
      </w:r>
      <w:hyperlink r:id="rId23" w:tgtFrame="_blank" w:history="1">
        <w:r w:rsidRPr="00BA79B9">
          <w:rPr>
            <w:rStyle w:val="Hyperlink"/>
            <w:rFonts w:ascii="Times New Roman" w:hAnsi="Times New Roman" w:cs="Times New Roman"/>
            <w:color w:val="auto"/>
            <w:sz w:val="24"/>
            <w:szCs w:val="24"/>
            <w:u w:val="none"/>
            <w:bdr w:val="none" w:sz="0" w:space="0" w:color="auto" w:frame="1"/>
            <w:shd w:val="clear" w:color="auto" w:fill="FFFFFF"/>
            <w:lang w:val="en-US"/>
          </w:rPr>
          <w:t>DUTRA, L. F.</w:t>
        </w:r>
      </w:hyperlink>
      <w:r w:rsidRPr="00BA79B9">
        <w:rPr>
          <w:rFonts w:ascii="Times New Roman" w:hAnsi="Times New Roman" w:cs="Times New Roman"/>
          <w:sz w:val="24"/>
          <w:szCs w:val="24"/>
          <w:shd w:val="clear" w:color="auto" w:fill="FFFFFF"/>
          <w:lang w:val="en-US"/>
        </w:rPr>
        <w:t xml:space="preserve"> </w:t>
      </w:r>
      <w:r w:rsidRPr="00457618">
        <w:rPr>
          <w:rFonts w:ascii="Times New Roman" w:hAnsi="Times New Roman" w:cs="Times New Roman"/>
          <w:sz w:val="24"/>
          <w:szCs w:val="24"/>
          <w:shd w:val="clear" w:color="auto" w:fill="FFFFFF"/>
        </w:rPr>
        <w:t xml:space="preserve">Utilização de diferentes recipientes na propagação da ameixeira através de estacas. </w:t>
      </w:r>
      <w:r w:rsidRPr="00BA79B9">
        <w:rPr>
          <w:rFonts w:ascii="Times New Roman" w:hAnsi="Times New Roman" w:cs="Times New Roman"/>
          <w:b/>
          <w:sz w:val="24"/>
          <w:szCs w:val="24"/>
          <w:shd w:val="clear" w:color="auto" w:fill="FFFFFF"/>
        </w:rPr>
        <w:t>Revista Brasileira de Fruticultura</w:t>
      </w:r>
      <w:r w:rsidRPr="00457618">
        <w:rPr>
          <w:rFonts w:ascii="Times New Roman" w:hAnsi="Times New Roman" w:cs="Times New Roman"/>
          <w:sz w:val="24"/>
          <w:szCs w:val="24"/>
          <w:shd w:val="clear" w:color="auto" w:fill="FFFFFF"/>
        </w:rPr>
        <w:t>, Jaboticabal, v. 24, n.1, p. 285-288, 2002.</w:t>
      </w:r>
    </w:p>
    <w:p w14:paraId="1B3D9648" w14:textId="4F2BC3A9" w:rsidR="002D2D6E" w:rsidRPr="00457618" w:rsidRDefault="002D2D6E" w:rsidP="003211BD">
      <w:pPr>
        <w:spacing w:afterLines="200" w:after="480" w:line="240" w:lineRule="auto"/>
        <w:ind w:left="425" w:hanging="425"/>
        <w:jc w:val="both"/>
        <w:rPr>
          <w:rFonts w:ascii="Times New Roman" w:hAnsi="Times New Roman" w:cs="Times New Roman"/>
          <w:sz w:val="24"/>
          <w:szCs w:val="24"/>
        </w:rPr>
      </w:pPr>
      <w:r w:rsidRPr="00457618">
        <w:rPr>
          <w:rFonts w:ascii="Times New Roman" w:hAnsi="Times New Roman" w:cs="Times New Roman"/>
          <w:sz w:val="24"/>
          <w:szCs w:val="24"/>
        </w:rPr>
        <w:lastRenderedPageBreak/>
        <w:t>SOUZA, N. H.; MARSCHETTI, M. E.; CARNEVALI, T. O.; RAMOS, D. D.; SCALON, S. P. Q.; SILVA, E. F. Estudo nutricional da canafistula: crescimento e qualidade de mudas em resposta à adubação com nitrogênio e fósforo</w:t>
      </w:r>
      <w:r w:rsidRPr="00BA79B9">
        <w:rPr>
          <w:rFonts w:ascii="Times New Roman" w:hAnsi="Times New Roman" w:cs="Times New Roman"/>
          <w:b/>
          <w:sz w:val="24"/>
          <w:szCs w:val="24"/>
        </w:rPr>
        <w:t>. Revista Árvore</w:t>
      </w:r>
      <w:r w:rsidR="00BA79B9">
        <w:rPr>
          <w:rFonts w:ascii="Times New Roman" w:hAnsi="Times New Roman" w:cs="Times New Roman"/>
          <w:sz w:val="24"/>
          <w:szCs w:val="24"/>
        </w:rPr>
        <w:t>, Viçosa</w:t>
      </w:r>
      <w:r w:rsidRPr="00457618">
        <w:rPr>
          <w:rFonts w:ascii="Times New Roman" w:hAnsi="Times New Roman" w:cs="Times New Roman"/>
          <w:sz w:val="24"/>
          <w:szCs w:val="24"/>
        </w:rPr>
        <w:t xml:space="preserve">, v. 37, n. 4, 2013. </w:t>
      </w:r>
    </w:p>
    <w:sectPr w:rsidR="002D2D6E" w:rsidRPr="00457618" w:rsidSect="00135189">
      <w:footerReference w:type="default" r:id="rId24"/>
      <w:pgSz w:w="11906" w:h="16838"/>
      <w:pgMar w:top="1418" w:right="1418"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date="2016-08-30T18:08:00Z" w:initials="A">
    <w:p w14:paraId="0D6A9D8C" w14:textId="4AD99F85" w:rsidR="00211A24" w:rsidRDefault="00211A24" w:rsidP="00211A24">
      <w:pPr>
        <w:pStyle w:val="Textodecomentrio"/>
      </w:pPr>
      <w:r>
        <w:rPr>
          <w:rStyle w:val="Refdecomentrio"/>
        </w:rPr>
        <w:annotationRef/>
      </w:r>
      <w:r>
        <w:t xml:space="preserve">Comentário dos revisores: </w:t>
      </w:r>
      <w:r>
        <w:t xml:space="preserve"> O manuscrito apresenta muita semelhança ao seguinte artigo já publicado:</w:t>
      </w:r>
    </w:p>
    <w:p w14:paraId="4E2AAF8B" w14:textId="77777777" w:rsidR="00211A24" w:rsidRDefault="00211A24" w:rsidP="00211A24">
      <w:pPr>
        <w:pStyle w:val="Textodecomentrio"/>
      </w:pPr>
      <w:r>
        <w:t>http://www.seer.ufs.br/index.php/revipi/article/view/2887/3397</w:t>
      </w:r>
    </w:p>
    <w:p w14:paraId="569D3D5D" w14:textId="1556DFEE" w:rsidR="00211A24" w:rsidRDefault="00211A24" w:rsidP="00211A24">
      <w:pPr>
        <w:pStyle w:val="Textodecomentrio"/>
      </w:pPr>
    </w:p>
    <w:p w14:paraId="40D959F8" w14:textId="77777777" w:rsidR="000D7D4C" w:rsidRDefault="000D7D4C" w:rsidP="00211A24">
      <w:pPr>
        <w:pStyle w:val="Textodecomentrio"/>
      </w:pPr>
    </w:p>
    <w:p w14:paraId="087DD9A4" w14:textId="67F8CE9C" w:rsidR="00211A24" w:rsidRDefault="00211A24" w:rsidP="00211A24">
      <w:pPr>
        <w:pStyle w:val="Textodecomentrio"/>
      </w:pPr>
      <w:r>
        <w:t xml:space="preserve">Resposta dos autores: Este artigo já publicado possui a mesma autoria dos presentes autores e refere-se ao </w:t>
      </w:r>
      <w:r>
        <w:t>r</w:t>
      </w:r>
      <w:r>
        <w:t>elatório final de Iniciação científica</w:t>
      </w:r>
      <w:r>
        <w:t xml:space="preserve"> </w:t>
      </w:r>
      <w:r>
        <w:t>da autora. O referente relatório utilizou a mesma origem dos dados. Porém,</w:t>
      </w:r>
      <w:r>
        <w:t xml:space="preserve"> </w:t>
      </w:r>
      <w:r>
        <w:t>foram considerados neste artig</w:t>
      </w:r>
      <w:r>
        <w:t xml:space="preserve">o submetido a SAP, para fins de </w:t>
      </w:r>
      <w:r>
        <w:t>validade estatística, apenas os dados referentes aos tubetes de 56 e 120 cm³, sujeitos</w:t>
      </w:r>
      <w:r>
        <w:t xml:space="preserve"> </w:t>
      </w:r>
      <w:r>
        <w:t>a diferentes análises estatísticas.</w:t>
      </w:r>
    </w:p>
  </w:comment>
  <w:comment w:id="1" w:author="Autor" w:date="2016-08-30T18:11:00Z" w:initials="A">
    <w:p w14:paraId="6BC8A500" w14:textId="422C0C45" w:rsidR="00EF7F89" w:rsidRDefault="00EF7F89" w:rsidP="00EF7F89">
      <w:pPr>
        <w:pStyle w:val="Textodecomentrio"/>
      </w:pPr>
      <w:r>
        <w:rPr>
          <w:rStyle w:val="Refdecomentrio"/>
        </w:rPr>
        <w:annotationRef/>
      </w:r>
      <w:r>
        <w:t>Comentários do</w:t>
      </w:r>
      <w:r>
        <w:t>s</w:t>
      </w:r>
      <w:r>
        <w:t xml:space="preserve"> revisor</w:t>
      </w:r>
      <w:r>
        <w:t>es</w:t>
      </w:r>
      <w:r>
        <w:t>:</w:t>
      </w:r>
      <w:r>
        <w:t xml:space="preserve"> </w:t>
      </w:r>
      <w:r>
        <w:t>A sobrevivência das mudas foi avaliada no campo?</w:t>
      </w:r>
    </w:p>
    <w:p w14:paraId="60EE8A3A" w14:textId="21E62918" w:rsidR="00EF7F89" w:rsidRDefault="00EF7F89" w:rsidP="00EF7F89">
      <w:pPr>
        <w:pStyle w:val="Textodecomentrio"/>
      </w:pPr>
    </w:p>
    <w:p w14:paraId="15C354B7" w14:textId="77777777" w:rsidR="000D7D4C" w:rsidRDefault="000D7D4C" w:rsidP="00EF7F89">
      <w:pPr>
        <w:pStyle w:val="Textodecomentrio"/>
      </w:pPr>
    </w:p>
    <w:p w14:paraId="33A4E853" w14:textId="3BDDFA6B" w:rsidR="00EF7F89" w:rsidRDefault="00EF7F89" w:rsidP="00EF7F89">
      <w:pPr>
        <w:pStyle w:val="Textodecomentrio"/>
      </w:pPr>
      <w:r>
        <w:t>Resposta dos autores:</w:t>
      </w:r>
      <w:r>
        <w:t xml:space="preserve"> </w:t>
      </w:r>
      <w:r>
        <w:t>Não. Como citado no texto "este trabalho foi realizado com o objetivo de avaliar a qualidade de mudas de quatro espécies florestais</w:t>
      </w:r>
      <w:r>
        <w:t xml:space="preserve"> nativas em viveiro </w:t>
      </w:r>
      <w:r>
        <w:t>[...]"</w:t>
      </w:r>
    </w:p>
  </w:comment>
  <w:comment w:id="2" w:author="Autor" w:date="2016-08-30T18:12:00Z" w:initials="A">
    <w:p w14:paraId="42E565EC" w14:textId="678540E6" w:rsidR="00EF7F89" w:rsidRDefault="00EF7F89" w:rsidP="00EF7F89">
      <w:pPr>
        <w:pStyle w:val="Textodecomentrio"/>
      </w:pPr>
      <w:r>
        <w:rPr>
          <w:rStyle w:val="Refdecomentrio"/>
        </w:rPr>
        <w:annotationRef/>
      </w:r>
      <w:r>
        <w:t>Comentários do</w:t>
      </w:r>
      <w:r>
        <w:t>s</w:t>
      </w:r>
      <w:r>
        <w:t xml:space="preserve"> revisor</w:t>
      </w:r>
      <w:r>
        <w:t>es</w:t>
      </w:r>
      <w:r>
        <w:t>: Quantas árvores matrizes foram utilizadas para a coleta das sementes?</w:t>
      </w:r>
    </w:p>
    <w:p w14:paraId="7583D5EA" w14:textId="5C7E9C1A" w:rsidR="00EF7F89" w:rsidRDefault="00EF7F89" w:rsidP="00EF7F89">
      <w:pPr>
        <w:pStyle w:val="Textodecomentrio"/>
      </w:pPr>
      <w:r>
        <w:t>Houve algum critério para considerar a cosanguinidade dos indivíduos?</w:t>
      </w:r>
    </w:p>
    <w:p w14:paraId="00377EC5" w14:textId="7F20CF37" w:rsidR="00EF7F89" w:rsidRDefault="00EF7F89" w:rsidP="00EF7F89">
      <w:pPr>
        <w:pStyle w:val="Textodecomentrio"/>
      </w:pPr>
    </w:p>
    <w:p w14:paraId="28BA5C34" w14:textId="77777777" w:rsidR="00EF7F89" w:rsidRDefault="00EF7F89" w:rsidP="00EF7F89">
      <w:pPr>
        <w:pStyle w:val="Textodecomentrio"/>
      </w:pPr>
    </w:p>
    <w:p w14:paraId="5DB26146" w14:textId="178B938F" w:rsidR="00EF7F89" w:rsidRDefault="00EF7F89" w:rsidP="00EF7F89">
      <w:pPr>
        <w:pStyle w:val="Textodecomentrio"/>
      </w:pPr>
      <w:r>
        <w:t>Resposta dos autores:</w:t>
      </w:r>
      <w:r>
        <w:t xml:space="preserve"> </w:t>
      </w:r>
      <w:r>
        <w:t xml:space="preserve">As sementes foram obtidas a partir do banco de armazenamento de sementes do Departamento de Ciências Florestal da UFS, o qual coleta sementes de </w:t>
      </w:r>
      <w:r w:rsidR="000D7D4C">
        <w:t>m</w:t>
      </w:r>
      <w:r>
        <w:t>atrizes pré-selecionadas. Não há a informações</w:t>
      </w:r>
    </w:p>
    <w:p w14:paraId="2CF0D01E" w14:textId="1F4AB098" w:rsidR="00EF7F89" w:rsidRDefault="00EF7F89" w:rsidP="00EF7F89">
      <w:pPr>
        <w:pStyle w:val="Textodecomentrio"/>
      </w:pPr>
      <w:r>
        <w:t xml:space="preserve">a respeito da </w:t>
      </w:r>
      <w:r w:rsidRPr="00EF7F89">
        <w:rPr>
          <w:b/>
        </w:rPr>
        <w:t>quantidade</w:t>
      </w:r>
      <w:r>
        <w:t xml:space="preserve"> de matrizes.</w:t>
      </w:r>
    </w:p>
  </w:comment>
  <w:comment w:id="3" w:author="Autor" w:date="2016-08-30T18:13:00Z" w:initials="A">
    <w:p w14:paraId="1CD31FC2" w14:textId="3A894D58" w:rsidR="000D7D4C" w:rsidRDefault="000D7D4C" w:rsidP="000D7D4C">
      <w:pPr>
        <w:pStyle w:val="Textodecomentrio"/>
      </w:pPr>
      <w:r>
        <w:rPr>
          <w:rStyle w:val="Refdecomentrio"/>
        </w:rPr>
        <w:annotationRef/>
      </w:r>
      <w:r>
        <w:t>Comentários do</w:t>
      </w:r>
      <w:r>
        <w:t>s</w:t>
      </w:r>
      <w:r>
        <w:t xml:space="preserve"> revisor</w:t>
      </w:r>
      <w:r>
        <w:t>es</w:t>
      </w:r>
      <w:r>
        <w:t>:</w:t>
      </w:r>
      <w:r>
        <w:t xml:space="preserve"> </w:t>
      </w:r>
      <w:r>
        <w:t>Pode haver perda da biomassa nessa temperatura.</w:t>
      </w:r>
      <w:r>
        <w:t xml:space="preserve"> </w:t>
      </w:r>
      <w:r>
        <w:t>Tem certeza que a temperatura foi superior a 55°C ????</w:t>
      </w:r>
      <w:r>
        <w:t xml:space="preserve"> </w:t>
      </w:r>
      <w:r>
        <w:t>Favor verificar esse item.</w:t>
      </w:r>
    </w:p>
    <w:p w14:paraId="35472C8F" w14:textId="3CD8CFBA" w:rsidR="000D7D4C" w:rsidRDefault="000D7D4C" w:rsidP="000D7D4C">
      <w:pPr>
        <w:pStyle w:val="Textodecomentrio"/>
      </w:pPr>
    </w:p>
    <w:p w14:paraId="64A5F64C" w14:textId="77777777" w:rsidR="000D7D4C" w:rsidRDefault="000D7D4C" w:rsidP="000D7D4C">
      <w:pPr>
        <w:pStyle w:val="Textodecomentrio"/>
      </w:pPr>
    </w:p>
    <w:p w14:paraId="58E441A4" w14:textId="63D042B3" w:rsidR="000D7D4C" w:rsidRDefault="000D7D4C" w:rsidP="000D7D4C">
      <w:pPr>
        <w:pStyle w:val="Textodecomentrio"/>
      </w:pPr>
      <w:r>
        <w:t xml:space="preserve">Resposta dos autores: </w:t>
      </w:r>
      <w:r>
        <w:t xml:space="preserve">A determinação da temperatura utilizada em estufa foi baseada em outros estudos realizados com a mesma finalidade. </w:t>
      </w:r>
      <w:r>
        <w:t xml:space="preserve">Todos os trabalhos realizados com biomassa no departamento de </w:t>
      </w:r>
      <w:r>
        <w:t xml:space="preserve">ciências florestais da UFS </w:t>
      </w:r>
      <w:r>
        <w:t>utilizam esta metodologia.</w:t>
      </w:r>
      <w:r>
        <w:t xml:space="preserve"> </w:t>
      </w:r>
      <w:r>
        <w:t>Carnevali et al. (2009), Souza et al. (2010) Mews (2014) e Garcia e Souza (2015), por exemplo, utilizam a mesma temperatura em suas metodologias</w:t>
      </w:r>
      <w:r w:rsidR="00C4287C">
        <w:t>.</w:t>
      </w:r>
    </w:p>
  </w:comment>
  <w:comment w:id="4" w:author="Autor" w:date="2016-08-30T18:15:00Z" w:initials="A">
    <w:p w14:paraId="3793824E" w14:textId="37EE5087" w:rsidR="00C4287C" w:rsidRDefault="00C4287C" w:rsidP="00C4287C">
      <w:pPr>
        <w:pStyle w:val="Textodecomentrio"/>
      </w:pPr>
      <w:r>
        <w:rPr>
          <w:rStyle w:val="Refdecomentrio"/>
        </w:rPr>
        <w:annotationRef/>
      </w:r>
      <w:r>
        <w:t>Comentários do</w:t>
      </w:r>
      <w:r>
        <w:t>s</w:t>
      </w:r>
      <w:r>
        <w:t xml:space="preserve"> revisor</w:t>
      </w:r>
      <w:r>
        <w:t>es</w:t>
      </w:r>
      <w:r>
        <w:t>:</w:t>
      </w:r>
      <w:r>
        <w:t xml:space="preserve"> </w:t>
      </w:r>
      <w:r>
        <w:t>Por que não foram avaliados outros parâmetros morfológicos com os dados coletados</w:t>
      </w:r>
      <w:r>
        <w:t>?</w:t>
      </w:r>
    </w:p>
    <w:p w14:paraId="4C942E79" w14:textId="0C8FF97A" w:rsidR="00C4287C" w:rsidRDefault="00C4287C" w:rsidP="00C4287C">
      <w:pPr>
        <w:pStyle w:val="Textodecomentrio"/>
      </w:pPr>
    </w:p>
    <w:p w14:paraId="0A626FC0" w14:textId="77777777" w:rsidR="00C4287C" w:rsidRDefault="00C4287C" w:rsidP="00C4287C">
      <w:pPr>
        <w:pStyle w:val="Textodecomentrio"/>
      </w:pPr>
    </w:p>
    <w:p w14:paraId="6C257768" w14:textId="210A4D73" w:rsidR="00C4287C" w:rsidRDefault="00C4287C" w:rsidP="00C4287C">
      <w:pPr>
        <w:pStyle w:val="Textodecomentrio"/>
      </w:pPr>
      <w:r>
        <w:t>Resposta dos autores:</w:t>
      </w:r>
      <w:r>
        <w:t xml:space="preserve"> Estes dados fora</w:t>
      </w:r>
      <w:r>
        <w:t>m ava</w:t>
      </w:r>
      <w:r>
        <w:t>liados no estudo original (mono</w:t>
      </w:r>
      <w:r>
        <w:t xml:space="preserve">grafia). No entanto, os autores julgaram </w:t>
      </w:r>
      <w:r>
        <w:t>adequado</w:t>
      </w:r>
      <w:r>
        <w:t xml:space="preserve"> ap</w:t>
      </w:r>
      <w:r>
        <w:t>resentar os resultados apenas d</w:t>
      </w:r>
      <w:r>
        <w:t>e IQD.</w:t>
      </w:r>
    </w:p>
  </w:comment>
  <w:comment w:id="5" w:author="Autor" w:date="2016-08-30T18:17:00Z" w:initials="A">
    <w:p w14:paraId="58017EF9" w14:textId="024CE926" w:rsidR="00D64C22" w:rsidRDefault="00D64C22" w:rsidP="00D64C22">
      <w:pPr>
        <w:pStyle w:val="Textodecomentrio"/>
      </w:pPr>
      <w:r>
        <w:rPr>
          <w:rStyle w:val="Refdecomentrio"/>
        </w:rPr>
        <w:annotationRef/>
      </w:r>
      <w:r>
        <w:t>Comentários do</w:t>
      </w:r>
      <w:r>
        <w:t>s</w:t>
      </w:r>
      <w:r>
        <w:t xml:space="preserve"> revisor</w:t>
      </w:r>
      <w:r>
        <w:t>es</w:t>
      </w:r>
      <w:r>
        <w:t>:</w:t>
      </w:r>
      <w:r>
        <w:t xml:space="preserve"> </w:t>
      </w:r>
      <w:r>
        <w:t>Por que não foi aplicada análise de regressão para o fator dosagem de fertilizante?</w:t>
      </w:r>
    </w:p>
    <w:p w14:paraId="5B990376" w14:textId="63B2B9D1" w:rsidR="00D64C22" w:rsidRDefault="00D64C22" w:rsidP="00D64C22">
      <w:pPr>
        <w:pStyle w:val="Textodecomentrio"/>
      </w:pPr>
    </w:p>
    <w:p w14:paraId="5A8F83FB" w14:textId="77777777" w:rsidR="00D64C22" w:rsidRDefault="00D64C22" w:rsidP="00D64C22">
      <w:pPr>
        <w:pStyle w:val="Textodecomentrio"/>
      </w:pPr>
    </w:p>
    <w:p w14:paraId="486A6AD1" w14:textId="4F53E96F" w:rsidR="00D64C22" w:rsidRDefault="00D64C22" w:rsidP="00D64C22">
      <w:pPr>
        <w:pStyle w:val="Textodecomentrio"/>
      </w:pPr>
      <w:r>
        <w:t>Respos</w:t>
      </w:r>
      <w:r>
        <w:t>ta dos autores: Foi realizada a a</w:t>
      </w:r>
      <w:r>
        <w:t>nálise de regressão, no entanto, não encontramos nenhum resultado ótimo condizente com o objetivo do trabalho (encontrar a concentração de fertilizante fosfatado que determine o recipiente ótimo de produção).</w:t>
      </w:r>
    </w:p>
  </w:comment>
  <w:comment w:id="6" w:author="Autor" w:date="2016-08-30T18:18:00Z" w:initials="A">
    <w:p w14:paraId="5E35D538" w14:textId="7968A7EF" w:rsidR="00D64C22" w:rsidRDefault="00D64C22" w:rsidP="00D64C22">
      <w:pPr>
        <w:pStyle w:val="Textodecomentrio"/>
      </w:pPr>
      <w:r>
        <w:rPr>
          <w:rStyle w:val="Refdecomentrio"/>
        </w:rPr>
        <w:annotationRef/>
      </w:r>
      <w:r>
        <w:t xml:space="preserve">Comentários dos </w:t>
      </w:r>
      <w:r>
        <w:t>revisor</w:t>
      </w:r>
      <w:r>
        <w:t>es</w:t>
      </w:r>
      <w:r>
        <w:t>:</w:t>
      </w:r>
      <w:r>
        <w:t xml:space="preserve"> </w:t>
      </w:r>
      <w:r>
        <w:t>Qual a necessidade de apresentar uma tabela quando não existem diferenças estatísticas?</w:t>
      </w:r>
    </w:p>
    <w:p w14:paraId="3EFF8372" w14:textId="2E096FC1" w:rsidR="00D64C22" w:rsidRDefault="00D64C22" w:rsidP="00D64C22">
      <w:pPr>
        <w:pStyle w:val="Textodecomentrio"/>
      </w:pPr>
    </w:p>
    <w:p w14:paraId="3B111CED" w14:textId="77777777" w:rsidR="00D64C22" w:rsidRDefault="00D64C22" w:rsidP="00D64C22">
      <w:pPr>
        <w:pStyle w:val="Textodecomentrio"/>
      </w:pPr>
    </w:p>
    <w:p w14:paraId="75945E11" w14:textId="5241A7CC" w:rsidR="00D64C22" w:rsidRDefault="00D64C22" w:rsidP="00D64C22">
      <w:pPr>
        <w:pStyle w:val="Textodecomentrio"/>
      </w:pPr>
      <w:r>
        <w:t>Resposta dos autores: Durante a revisão do artigo e submissão dos dados ao teste de Welch todas as tabelas apresentam diferença estatística.</w:t>
      </w:r>
    </w:p>
  </w:comment>
  <w:comment w:id="7" w:author="Autor" w:date="2016-08-30T18:17:00Z" w:initials="A">
    <w:p w14:paraId="354537F1" w14:textId="77777777" w:rsidR="00D64C22" w:rsidRDefault="00D64C22" w:rsidP="00D64C22">
      <w:pPr>
        <w:pStyle w:val="Textodecomentrio"/>
      </w:pPr>
      <w:r>
        <w:rPr>
          <w:rStyle w:val="Refdecomentrio"/>
        </w:rPr>
        <w:annotationRef/>
      </w:r>
    </w:p>
    <w:p w14:paraId="3B7FFB15" w14:textId="5E9AA4F6" w:rsidR="00D64C22" w:rsidRDefault="00D64C22" w:rsidP="00D64C22">
      <w:pPr>
        <w:pStyle w:val="Textodecomentrio"/>
      </w:pPr>
      <w:r>
        <w:t>Comentários do</w:t>
      </w:r>
      <w:r>
        <w:t>s</w:t>
      </w:r>
      <w:r>
        <w:t xml:space="preserve"> revisor</w:t>
      </w:r>
      <w:r>
        <w:t>es</w:t>
      </w:r>
      <w:r>
        <w:t>: Encaminhar a ANOVA em arquivo separado para verificar a significância dos testes.</w:t>
      </w:r>
    </w:p>
    <w:p w14:paraId="37D02900" w14:textId="1E42422A" w:rsidR="00D64C22" w:rsidRDefault="00D64C22" w:rsidP="00D64C22">
      <w:pPr>
        <w:pStyle w:val="Textodecomentrio"/>
      </w:pPr>
    </w:p>
    <w:p w14:paraId="6EF0FD4D" w14:textId="77777777" w:rsidR="00D64C22" w:rsidRDefault="00D64C22" w:rsidP="00D64C22">
      <w:pPr>
        <w:pStyle w:val="Textodecomentrio"/>
      </w:pPr>
    </w:p>
    <w:p w14:paraId="19FCB7A0" w14:textId="47C1ACB5" w:rsidR="00D64C22" w:rsidRDefault="00D64C22" w:rsidP="00D64C22">
      <w:pPr>
        <w:pStyle w:val="Textodecomentrio"/>
      </w:pPr>
      <w:r>
        <w:t>Resposta dos autores: Está disponível nas tabelas 1-4 a estatística F da ANOVA.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DD9A4" w15:done="0"/>
  <w15:commentEx w15:paraId="33A4E853" w15:done="0"/>
  <w15:commentEx w15:paraId="2CF0D01E" w15:done="0"/>
  <w15:commentEx w15:paraId="58E441A4" w15:done="0"/>
  <w15:commentEx w15:paraId="6C257768" w15:done="0"/>
  <w15:commentEx w15:paraId="486A6AD1" w15:done="0"/>
  <w15:commentEx w15:paraId="75945E11" w15:done="0"/>
  <w15:commentEx w15:paraId="19FCB7A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5AB91" w14:textId="77777777" w:rsidR="00850FA6" w:rsidRDefault="00850FA6" w:rsidP="00E51E00">
      <w:pPr>
        <w:spacing w:after="0" w:line="240" w:lineRule="auto"/>
      </w:pPr>
      <w:r>
        <w:separator/>
      </w:r>
    </w:p>
  </w:endnote>
  <w:endnote w:type="continuationSeparator" w:id="0">
    <w:p w14:paraId="778748A0" w14:textId="77777777" w:rsidR="00850FA6" w:rsidRDefault="00850FA6" w:rsidP="00E5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33B0" w14:textId="6951E5AD" w:rsidR="00347481" w:rsidRDefault="00347481">
    <w:pPr>
      <w:pStyle w:val="Rodap"/>
      <w:jc w:val="right"/>
    </w:pPr>
    <w:r>
      <w:fldChar w:fldCharType="begin"/>
    </w:r>
    <w:r>
      <w:instrText>PAGE   \* MERGEFORMAT</w:instrText>
    </w:r>
    <w:r>
      <w:fldChar w:fldCharType="separate"/>
    </w:r>
    <w:r w:rsidR="008012DC">
      <w:rPr>
        <w:noProof/>
      </w:rPr>
      <w:t>13</w:t>
    </w:r>
    <w:r>
      <w:rPr>
        <w:noProof/>
      </w:rPr>
      <w:fldChar w:fldCharType="end"/>
    </w:r>
  </w:p>
  <w:p w14:paraId="3F65B636" w14:textId="77777777" w:rsidR="00347481" w:rsidRDefault="003474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3B25C" w14:textId="77777777" w:rsidR="00850FA6" w:rsidRDefault="00850FA6" w:rsidP="00E51E00">
      <w:pPr>
        <w:spacing w:after="0" w:line="240" w:lineRule="auto"/>
      </w:pPr>
      <w:r>
        <w:separator/>
      </w:r>
    </w:p>
  </w:footnote>
  <w:footnote w:type="continuationSeparator" w:id="0">
    <w:p w14:paraId="704BA84C" w14:textId="77777777" w:rsidR="00850FA6" w:rsidRDefault="00850FA6" w:rsidP="00E51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24"/>
    <w:rsid w:val="00003778"/>
    <w:rsid w:val="00005CDE"/>
    <w:rsid w:val="000075A8"/>
    <w:rsid w:val="000104D5"/>
    <w:rsid w:val="00010B9A"/>
    <w:rsid w:val="00013D12"/>
    <w:rsid w:val="0001486F"/>
    <w:rsid w:val="000213FD"/>
    <w:rsid w:val="00021868"/>
    <w:rsid w:val="00024B22"/>
    <w:rsid w:val="00027601"/>
    <w:rsid w:val="0003083D"/>
    <w:rsid w:val="000319C2"/>
    <w:rsid w:val="000358C1"/>
    <w:rsid w:val="00037C3F"/>
    <w:rsid w:val="000415A9"/>
    <w:rsid w:val="000436DC"/>
    <w:rsid w:val="00046F90"/>
    <w:rsid w:val="00050A1D"/>
    <w:rsid w:val="00052F50"/>
    <w:rsid w:val="00057C25"/>
    <w:rsid w:val="000608DA"/>
    <w:rsid w:val="00061F73"/>
    <w:rsid w:val="00073739"/>
    <w:rsid w:val="00074DF7"/>
    <w:rsid w:val="00075B81"/>
    <w:rsid w:val="00076AFA"/>
    <w:rsid w:val="0008232E"/>
    <w:rsid w:val="000831C9"/>
    <w:rsid w:val="00085337"/>
    <w:rsid w:val="00087DDD"/>
    <w:rsid w:val="00092AD4"/>
    <w:rsid w:val="000A0460"/>
    <w:rsid w:val="000A058D"/>
    <w:rsid w:val="000A20E4"/>
    <w:rsid w:val="000B1C82"/>
    <w:rsid w:val="000B39EF"/>
    <w:rsid w:val="000B5BBE"/>
    <w:rsid w:val="000C6B35"/>
    <w:rsid w:val="000D40F0"/>
    <w:rsid w:val="000D5AE1"/>
    <w:rsid w:val="000D5B78"/>
    <w:rsid w:val="000D7D4C"/>
    <w:rsid w:val="000E49FC"/>
    <w:rsid w:val="000E73C0"/>
    <w:rsid w:val="000F0246"/>
    <w:rsid w:val="000F25FB"/>
    <w:rsid w:val="000F7550"/>
    <w:rsid w:val="001004E6"/>
    <w:rsid w:val="00114E24"/>
    <w:rsid w:val="00115F04"/>
    <w:rsid w:val="0012165C"/>
    <w:rsid w:val="001225B4"/>
    <w:rsid w:val="00124F7E"/>
    <w:rsid w:val="00135189"/>
    <w:rsid w:val="00135509"/>
    <w:rsid w:val="00140C3C"/>
    <w:rsid w:val="00143174"/>
    <w:rsid w:val="00146C3B"/>
    <w:rsid w:val="00150998"/>
    <w:rsid w:val="0015548A"/>
    <w:rsid w:val="001554C1"/>
    <w:rsid w:val="00157292"/>
    <w:rsid w:val="00157EFB"/>
    <w:rsid w:val="0016243B"/>
    <w:rsid w:val="00162FC4"/>
    <w:rsid w:val="0016638C"/>
    <w:rsid w:val="00167979"/>
    <w:rsid w:val="00170CBF"/>
    <w:rsid w:val="00177C1D"/>
    <w:rsid w:val="00180448"/>
    <w:rsid w:val="00181FB9"/>
    <w:rsid w:val="001830DB"/>
    <w:rsid w:val="00183674"/>
    <w:rsid w:val="00190954"/>
    <w:rsid w:val="00192275"/>
    <w:rsid w:val="001A0254"/>
    <w:rsid w:val="001A1E3D"/>
    <w:rsid w:val="001A3054"/>
    <w:rsid w:val="001B07AA"/>
    <w:rsid w:val="001B1B84"/>
    <w:rsid w:val="001B3794"/>
    <w:rsid w:val="001D1A77"/>
    <w:rsid w:val="001D4C9E"/>
    <w:rsid w:val="001D6481"/>
    <w:rsid w:val="001D6DB1"/>
    <w:rsid w:val="001D76A9"/>
    <w:rsid w:val="001E019A"/>
    <w:rsid w:val="001E2382"/>
    <w:rsid w:val="001E34C4"/>
    <w:rsid w:val="001F572B"/>
    <w:rsid w:val="001F7F74"/>
    <w:rsid w:val="002013F9"/>
    <w:rsid w:val="0020462F"/>
    <w:rsid w:val="002073EF"/>
    <w:rsid w:val="0021068C"/>
    <w:rsid w:val="00211A24"/>
    <w:rsid w:val="00211E25"/>
    <w:rsid w:val="002154E8"/>
    <w:rsid w:val="00216875"/>
    <w:rsid w:val="00217EFC"/>
    <w:rsid w:val="002227CB"/>
    <w:rsid w:val="0022475B"/>
    <w:rsid w:val="002268D0"/>
    <w:rsid w:val="00226D20"/>
    <w:rsid w:val="00227B99"/>
    <w:rsid w:val="002314F2"/>
    <w:rsid w:val="0023371D"/>
    <w:rsid w:val="00234676"/>
    <w:rsid w:val="0023522E"/>
    <w:rsid w:val="00235F34"/>
    <w:rsid w:val="00241E33"/>
    <w:rsid w:val="00244B5D"/>
    <w:rsid w:val="002525F6"/>
    <w:rsid w:val="00270EFC"/>
    <w:rsid w:val="00270F2A"/>
    <w:rsid w:val="0027340D"/>
    <w:rsid w:val="00281F24"/>
    <w:rsid w:val="00282085"/>
    <w:rsid w:val="002864BE"/>
    <w:rsid w:val="00296BB2"/>
    <w:rsid w:val="002A094B"/>
    <w:rsid w:val="002A0CD1"/>
    <w:rsid w:val="002A27D3"/>
    <w:rsid w:val="002B165D"/>
    <w:rsid w:val="002B4414"/>
    <w:rsid w:val="002B5063"/>
    <w:rsid w:val="002C24A0"/>
    <w:rsid w:val="002C4ADA"/>
    <w:rsid w:val="002D1FB3"/>
    <w:rsid w:val="002D2817"/>
    <w:rsid w:val="002D2D6E"/>
    <w:rsid w:val="002D55F3"/>
    <w:rsid w:val="002D5BEC"/>
    <w:rsid w:val="002F2C70"/>
    <w:rsid w:val="002F5049"/>
    <w:rsid w:val="002F7A04"/>
    <w:rsid w:val="0030180F"/>
    <w:rsid w:val="00304A9A"/>
    <w:rsid w:val="00311394"/>
    <w:rsid w:val="00314796"/>
    <w:rsid w:val="00317F97"/>
    <w:rsid w:val="003211BD"/>
    <w:rsid w:val="00321543"/>
    <w:rsid w:val="00325ADF"/>
    <w:rsid w:val="00326B85"/>
    <w:rsid w:val="00330973"/>
    <w:rsid w:val="003314F4"/>
    <w:rsid w:val="003321C3"/>
    <w:rsid w:val="00336B96"/>
    <w:rsid w:val="00343044"/>
    <w:rsid w:val="00343CE1"/>
    <w:rsid w:val="00343D22"/>
    <w:rsid w:val="00345518"/>
    <w:rsid w:val="00346214"/>
    <w:rsid w:val="00347481"/>
    <w:rsid w:val="0034761F"/>
    <w:rsid w:val="00350584"/>
    <w:rsid w:val="00360C39"/>
    <w:rsid w:val="00364BC9"/>
    <w:rsid w:val="00365DC1"/>
    <w:rsid w:val="00370CE8"/>
    <w:rsid w:val="003731BC"/>
    <w:rsid w:val="00377AF0"/>
    <w:rsid w:val="00380475"/>
    <w:rsid w:val="00394E66"/>
    <w:rsid w:val="003973B2"/>
    <w:rsid w:val="003A068C"/>
    <w:rsid w:val="003A0A4C"/>
    <w:rsid w:val="003A2AA8"/>
    <w:rsid w:val="003A745D"/>
    <w:rsid w:val="003B0769"/>
    <w:rsid w:val="003B5541"/>
    <w:rsid w:val="003B6464"/>
    <w:rsid w:val="003C4A2F"/>
    <w:rsid w:val="003C73AD"/>
    <w:rsid w:val="003C7854"/>
    <w:rsid w:val="003D3979"/>
    <w:rsid w:val="003D49CE"/>
    <w:rsid w:val="003E749C"/>
    <w:rsid w:val="003F061E"/>
    <w:rsid w:val="003F0C11"/>
    <w:rsid w:val="0040409A"/>
    <w:rsid w:val="00406D25"/>
    <w:rsid w:val="00411D03"/>
    <w:rsid w:val="00412F19"/>
    <w:rsid w:val="00420F5E"/>
    <w:rsid w:val="00423522"/>
    <w:rsid w:val="00426278"/>
    <w:rsid w:val="00427C69"/>
    <w:rsid w:val="00441257"/>
    <w:rsid w:val="004514CC"/>
    <w:rsid w:val="00455B8F"/>
    <w:rsid w:val="00455D02"/>
    <w:rsid w:val="00457618"/>
    <w:rsid w:val="004624E5"/>
    <w:rsid w:val="004678B1"/>
    <w:rsid w:val="00473885"/>
    <w:rsid w:val="004743BE"/>
    <w:rsid w:val="00474E30"/>
    <w:rsid w:val="0047762E"/>
    <w:rsid w:val="0047794E"/>
    <w:rsid w:val="00480B7C"/>
    <w:rsid w:val="004817FC"/>
    <w:rsid w:val="004857E0"/>
    <w:rsid w:val="00485AA1"/>
    <w:rsid w:val="0048743D"/>
    <w:rsid w:val="0049162F"/>
    <w:rsid w:val="004A0730"/>
    <w:rsid w:val="004A161B"/>
    <w:rsid w:val="004B04E1"/>
    <w:rsid w:val="004B1BCB"/>
    <w:rsid w:val="004B3AA4"/>
    <w:rsid w:val="004C091C"/>
    <w:rsid w:val="004C4FEA"/>
    <w:rsid w:val="004D255C"/>
    <w:rsid w:val="004D3013"/>
    <w:rsid w:val="004D4623"/>
    <w:rsid w:val="004D4A20"/>
    <w:rsid w:val="004D524B"/>
    <w:rsid w:val="004D6402"/>
    <w:rsid w:val="004F0EB8"/>
    <w:rsid w:val="004F440A"/>
    <w:rsid w:val="004F5448"/>
    <w:rsid w:val="004F57DA"/>
    <w:rsid w:val="004F5EE4"/>
    <w:rsid w:val="00501900"/>
    <w:rsid w:val="00502649"/>
    <w:rsid w:val="0050419F"/>
    <w:rsid w:val="00504CC1"/>
    <w:rsid w:val="00504E49"/>
    <w:rsid w:val="00505006"/>
    <w:rsid w:val="00506FE0"/>
    <w:rsid w:val="005104B8"/>
    <w:rsid w:val="0051289B"/>
    <w:rsid w:val="005232CC"/>
    <w:rsid w:val="0052426F"/>
    <w:rsid w:val="00531E94"/>
    <w:rsid w:val="00532B4B"/>
    <w:rsid w:val="00533E92"/>
    <w:rsid w:val="005446F7"/>
    <w:rsid w:val="00544B68"/>
    <w:rsid w:val="00550CF0"/>
    <w:rsid w:val="00550D47"/>
    <w:rsid w:val="0058059D"/>
    <w:rsid w:val="00580AA8"/>
    <w:rsid w:val="00581887"/>
    <w:rsid w:val="0059104F"/>
    <w:rsid w:val="00593433"/>
    <w:rsid w:val="0059506B"/>
    <w:rsid w:val="005959AC"/>
    <w:rsid w:val="005A634D"/>
    <w:rsid w:val="005B4090"/>
    <w:rsid w:val="005C1B9C"/>
    <w:rsid w:val="005C48FC"/>
    <w:rsid w:val="005C6B39"/>
    <w:rsid w:val="005C7169"/>
    <w:rsid w:val="005D0635"/>
    <w:rsid w:val="005D2CE6"/>
    <w:rsid w:val="005D3179"/>
    <w:rsid w:val="005D671C"/>
    <w:rsid w:val="005E33CA"/>
    <w:rsid w:val="005E541B"/>
    <w:rsid w:val="005F374C"/>
    <w:rsid w:val="005F4776"/>
    <w:rsid w:val="005F5C7F"/>
    <w:rsid w:val="005F786A"/>
    <w:rsid w:val="0060030C"/>
    <w:rsid w:val="006022E7"/>
    <w:rsid w:val="00602B3D"/>
    <w:rsid w:val="00607703"/>
    <w:rsid w:val="00610482"/>
    <w:rsid w:val="00611FF3"/>
    <w:rsid w:val="006232B8"/>
    <w:rsid w:val="00623588"/>
    <w:rsid w:val="0063391E"/>
    <w:rsid w:val="00633E4F"/>
    <w:rsid w:val="00646718"/>
    <w:rsid w:val="00653C5A"/>
    <w:rsid w:val="00676D30"/>
    <w:rsid w:val="006806ED"/>
    <w:rsid w:val="006909A9"/>
    <w:rsid w:val="00691271"/>
    <w:rsid w:val="00695D4E"/>
    <w:rsid w:val="00696A79"/>
    <w:rsid w:val="006A1819"/>
    <w:rsid w:val="006A1AAC"/>
    <w:rsid w:val="006B6C62"/>
    <w:rsid w:val="006C1EE3"/>
    <w:rsid w:val="006C4699"/>
    <w:rsid w:val="006C59C6"/>
    <w:rsid w:val="006C6068"/>
    <w:rsid w:val="006D2EBB"/>
    <w:rsid w:val="006D3815"/>
    <w:rsid w:val="006D527C"/>
    <w:rsid w:val="006E4442"/>
    <w:rsid w:val="006E4773"/>
    <w:rsid w:val="006E7526"/>
    <w:rsid w:val="006F1AAD"/>
    <w:rsid w:val="006F4102"/>
    <w:rsid w:val="006F518C"/>
    <w:rsid w:val="007014A5"/>
    <w:rsid w:val="00701DC2"/>
    <w:rsid w:val="00707B4A"/>
    <w:rsid w:val="00710365"/>
    <w:rsid w:val="00712452"/>
    <w:rsid w:val="00715A3F"/>
    <w:rsid w:val="007225A7"/>
    <w:rsid w:val="007377AE"/>
    <w:rsid w:val="00741FF8"/>
    <w:rsid w:val="007436AF"/>
    <w:rsid w:val="0075122B"/>
    <w:rsid w:val="00757A89"/>
    <w:rsid w:val="00760B35"/>
    <w:rsid w:val="00766762"/>
    <w:rsid w:val="00766854"/>
    <w:rsid w:val="00773758"/>
    <w:rsid w:val="0077510A"/>
    <w:rsid w:val="0078121C"/>
    <w:rsid w:val="007838C7"/>
    <w:rsid w:val="007922F0"/>
    <w:rsid w:val="00797F5E"/>
    <w:rsid w:val="007A29C3"/>
    <w:rsid w:val="007A2B16"/>
    <w:rsid w:val="007A30D3"/>
    <w:rsid w:val="007A6606"/>
    <w:rsid w:val="007C0527"/>
    <w:rsid w:val="007D54B5"/>
    <w:rsid w:val="007D75C2"/>
    <w:rsid w:val="007D7FF8"/>
    <w:rsid w:val="007E0C59"/>
    <w:rsid w:val="007E16B0"/>
    <w:rsid w:val="007E387D"/>
    <w:rsid w:val="007E579A"/>
    <w:rsid w:val="007E7729"/>
    <w:rsid w:val="007F0DC0"/>
    <w:rsid w:val="007F2ABA"/>
    <w:rsid w:val="007F4AC6"/>
    <w:rsid w:val="007F60FC"/>
    <w:rsid w:val="008012DC"/>
    <w:rsid w:val="00803568"/>
    <w:rsid w:val="00804F85"/>
    <w:rsid w:val="008120D7"/>
    <w:rsid w:val="008164B3"/>
    <w:rsid w:val="0082353E"/>
    <w:rsid w:val="00825EAA"/>
    <w:rsid w:val="008261B4"/>
    <w:rsid w:val="00826624"/>
    <w:rsid w:val="0083628E"/>
    <w:rsid w:val="008375CA"/>
    <w:rsid w:val="00845F2B"/>
    <w:rsid w:val="00845F4E"/>
    <w:rsid w:val="00846414"/>
    <w:rsid w:val="00850FA6"/>
    <w:rsid w:val="00856794"/>
    <w:rsid w:val="00860A9A"/>
    <w:rsid w:val="00860D61"/>
    <w:rsid w:val="00864DAE"/>
    <w:rsid w:val="0086617F"/>
    <w:rsid w:val="00877654"/>
    <w:rsid w:val="00885CA9"/>
    <w:rsid w:val="008A0AAF"/>
    <w:rsid w:val="008A2C4B"/>
    <w:rsid w:val="008B0A00"/>
    <w:rsid w:val="008B3A7C"/>
    <w:rsid w:val="008B66EA"/>
    <w:rsid w:val="008C1A5F"/>
    <w:rsid w:val="008C5104"/>
    <w:rsid w:val="008C63F5"/>
    <w:rsid w:val="008C6F6B"/>
    <w:rsid w:val="008C7D3B"/>
    <w:rsid w:val="008D1AD0"/>
    <w:rsid w:val="008E3B69"/>
    <w:rsid w:val="008F5EEF"/>
    <w:rsid w:val="008F65FA"/>
    <w:rsid w:val="008F6612"/>
    <w:rsid w:val="008F73E0"/>
    <w:rsid w:val="00900568"/>
    <w:rsid w:val="009016F0"/>
    <w:rsid w:val="00901FBD"/>
    <w:rsid w:val="00902489"/>
    <w:rsid w:val="00905809"/>
    <w:rsid w:val="009158E8"/>
    <w:rsid w:val="009161C4"/>
    <w:rsid w:val="00926E1A"/>
    <w:rsid w:val="00930255"/>
    <w:rsid w:val="00932A8E"/>
    <w:rsid w:val="00940F7F"/>
    <w:rsid w:val="0094195F"/>
    <w:rsid w:val="00946126"/>
    <w:rsid w:val="00951542"/>
    <w:rsid w:val="009516A4"/>
    <w:rsid w:val="00963DAC"/>
    <w:rsid w:val="0096658D"/>
    <w:rsid w:val="00971DE3"/>
    <w:rsid w:val="00973DFA"/>
    <w:rsid w:val="009749CE"/>
    <w:rsid w:val="009803F2"/>
    <w:rsid w:val="0098471F"/>
    <w:rsid w:val="00984FFC"/>
    <w:rsid w:val="00991C80"/>
    <w:rsid w:val="0099290A"/>
    <w:rsid w:val="009969DA"/>
    <w:rsid w:val="00997EFB"/>
    <w:rsid w:val="009A2AD8"/>
    <w:rsid w:val="009A5DDA"/>
    <w:rsid w:val="009A7C04"/>
    <w:rsid w:val="009B1176"/>
    <w:rsid w:val="009B1E15"/>
    <w:rsid w:val="009C48AB"/>
    <w:rsid w:val="009C6AD2"/>
    <w:rsid w:val="009E441C"/>
    <w:rsid w:val="009F1040"/>
    <w:rsid w:val="00A00468"/>
    <w:rsid w:val="00A005D0"/>
    <w:rsid w:val="00A020F3"/>
    <w:rsid w:val="00A0748A"/>
    <w:rsid w:val="00A11235"/>
    <w:rsid w:val="00A121E6"/>
    <w:rsid w:val="00A13C02"/>
    <w:rsid w:val="00A209D6"/>
    <w:rsid w:val="00A2399E"/>
    <w:rsid w:val="00A25DB7"/>
    <w:rsid w:val="00A35D92"/>
    <w:rsid w:val="00A360F2"/>
    <w:rsid w:val="00A36B25"/>
    <w:rsid w:val="00A37A62"/>
    <w:rsid w:val="00A41F50"/>
    <w:rsid w:val="00A421B3"/>
    <w:rsid w:val="00A44FAF"/>
    <w:rsid w:val="00A462BD"/>
    <w:rsid w:val="00A464A1"/>
    <w:rsid w:val="00A47D3A"/>
    <w:rsid w:val="00A50BEF"/>
    <w:rsid w:val="00A5204D"/>
    <w:rsid w:val="00A526F3"/>
    <w:rsid w:val="00A6004B"/>
    <w:rsid w:val="00A60974"/>
    <w:rsid w:val="00A65DFD"/>
    <w:rsid w:val="00A724BD"/>
    <w:rsid w:val="00A74865"/>
    <w:rsid w:val="00A75018"/>
    <w:rsid w:val="00A814AD"/>
    <w:rsid w:val="00A82924"/>
    <w:rsid w:val="00A83766"/>
    <w:rsid w:val="00A84C56"/>
    <w:rsid w:val="00A8602E"/>
    <w:rsid w:val="00A90CFC"/>
    <w:rsid w:val="00A94E14"/>
    <w:rsid w:val="00A97113"/>
    <w:rsid w:val="00AA2710"/>
    <w:rsid w:val="00AA457D"/>
    <w:rsid w:val="00AA599A"/>
    <w:rsid w:val="00AB0B41"/>
    <w:rsid w:val="00AB30E6"/>
    <w:rsid w:val="00AB4476"/>
    <w:rsid w:val="00AB65E2"/>
    <w:rsid w:val="00AB7D5B"/>
    <w:rsid w:val="00AC1005"/>
    <w:rsid w:val="00AC37FB"/>
    <w:rsid w:val="00AD380F"/>
    <w:rsid w:val="00AD47AE"/>
    <w:rsid w:val="00AD6CF4"/>
    <w:rsid w:val="00AD757C"/>
    <w:rsid w:val="00AE2FF6"/>
    <w:rsid w:val="00AE5107"/>
    <w:rsid w:val="00AF1F96"/>
    <w:rsid w:val="00AF308F"/>
    <w:rsid w:val="00AF40EA"/>
    <w:rsid w:val="00B05CD0"/>
    <w:rsid w:val="00B1094C"/>
    <w:rsid w:val="00B11522"/>
    <w:rsid w:val="00B1167B"/>
    <w:rsid w:val="00B11DA9"/>
    <w:rsid w:val="00B126F0"/>
    <w:rsid w:val="00B16DD6"/>
    <w:rsid w:val="00B230FC"/>
    <w:rsid w:val="00B25DB6"/>
    <w:rsid w:val="00B268CD"/>
    <w:rsid w:val="00B32234"/>
    <w:rsid w:val="00B32CCF"/>
    <w:rsid w:val="00B420D9"/>
    <w:rsid w:val="00B43A42"/>
    <w:rsid w:val="00B47755"/>
    <w:rsid w:val="00B4781E"/>
    <w:rsid w:val="00B53945"/>
    <w:rsid w:val="00B53FFB"/>
    <w:rsid w:val="00B5605A"/>
    <w:rsid w:val="00B57607"/>
    <w:rsid w:val="00B57B9D"/>
    <w:rsid w:val="00B57CF9"/>
    <w:rsid w:val="00B60B42"/>
    <w:rsid w:val="00B63549"/>
    <w:rsid w:val="00B63700"/>
    <w:rsid w:val="00B66D4E"/>
    <w:rsid w:val="00B66FB3"/>
    <w:rsid w:val="00B71234"/>
    <w:rsid w:val="00B74B4F"/>
    <w:rsid w:val="00B82ECB"/>
    <w:rsid w:val="00B94DE4"/>
    <w:rsid w:val="00B97F9B"/>
    <w:rsid w:val="00BA15B9"/>
    <w:rsid w:val="00BA204E"/>
    <w:rsid w:val="00BA227C"/>
    <w:rsid w:val="00BA5281"/>
    <w:rsid w:val="00BA5706"/>
    <w:rsid w:val="00BA79B9"/>
    <w:rsid w:val="00BB06C3"/>
    <w:rsid w:val="00BB416A"/>
    <w:rsid w:val="00BC1D43"/>
    <w:rsid w:val="00BC2266"/>
    <w:rsid w:val="00BC2634"/>
    <w:rsid w:val="00BC39F9"/>
    <w:rsid w:val="00BC41E8"/>
    <w:rsid w:val="00BC4C72"/>
    <w:rsid w:val="00BE0313"/>
    <w:rsid w:val="00BF3152"/>
    <w:rsid w:val="00BF7ADB"/>
    <w:rsid w:val="00C0762A"/>
    <w:rsid w:val="00C10B76"/>
    <w:rsid w:val="00C16572"/>
    <w:rsid w:val="00C167E4"/>
    <w:rsid w:val="00C17425"/>
    <w:rsid w:val="00C22A48"/>
    <w:rsid w:val="00C239CD"/>
    <w:rsid w:val="00C344C6"/>
    <w:rsid w:val="00C345F7"/>
    <w:rsid w:val="00C40C17"/>
    <w:rsid w:val="00C420D6"/>
    <w:rsid w:val="00C4287C"/>
    <w:rsid w:val="00C44C03"/>
    <w:rsid w:val="00C50BAF"/>
    <w:rsid w:val="00C52A72"/>
    <w:rsid w:val="00C5660B"/>
    <w:rsid w:val="00C64A98"/>
    <w:rsid w:val="00C702A2"/>
    <w:rsid w:val="00C705A0"/>
    <w:rsid w:val="00C7110A"/>
    <w:rsid w:val="00C71B26"/>
    <w:rsid w:val="00C82B92"/>
    <w:rsid w:val="00C85AC7"/>
    <w:rsid w:val="00C87577"/>
    <w:rsid w:val="00C90A15"/>
    <w:rsid w:val="00C91E00"/>
    <w:rsid w:val="00CA04FE"/>
    <w:rsid w:val="00CA22AA"/>
    <w:rsid w:val="00CA2AFC"/>
    <w:rsid w:val="00CA2C8A"/>
    <w:rsid w:val="00CB35AA"/>
    <w:rsid w:val="00CB3D35"/>
    <w:rsid w:val="00CB4CEF"/>
    <w:rsid w:val="00CB68BE"/>
    <w:rsid w:val="00CB7D9E"/>
    <w:rsid w:val="00CC38AC"/>
    <w:rsid w:val="00CD2ED1"/>
    <w:rsid w:val="00CD6FD7"/>
    <w:rsid w:val="00CE0FF7"/>
    <w:rsid w:val="00CE6DE8"/>
    <w:rsid w:val="00CF0B97"/>
    <w:rsid w:val="00CF3B19"/>
    <w:rsid w:val="00CF4556"/>
    <w:rsid w:val="00CF7DCA"/>
    <w:rsid w:val="00CF7EF4"/>
    <w:rsid w:val="00D016A3"/>
    <w:rsid w:val="00D03507"/>
    <w:rsid w:val="00D10213"/>
    <w:rsid w:val="00D10922"/>
    <w:rsid w:val="00D11FCF"/>
    <w:rsid w:val="00D15B3B"/>
    <w:rsid w:val="00D17C2A"/>
    <w:rsid w:val="00D27B4B"/>
    <w:rsid w:val="00D30878"/>
    <w:rsid w:val="00D3128C"/>
    <w:rsid w:val="00D337A5"/>
    <w:rsid w:val="00D43E6F"/>
    <w:rsid w:val="00D442BA"/>
    <w:rsid w:val="00D54E53"/>
    <w:rsid w:val="00D56798"/>
    <w:rsid w:val="00D616C7"/>
    <w:rsid w:val="00D61FDE"/>
    <w:rsid w:val="00D64C22"/>
    <w:rsid w:val="00D66CAE"/>
    <w:rsid w:val="00D707A8"/>
    <w:rsid w:val="00D80FEF"/>
    <w:rsid w:val="00D827D0"/>
    <w:rsid w:val="00D836D3"/>
    <w:rsid w:val="00D878E1"/>
    <w:rsid w:val="00D90B90"/>
    <w:rsid w:val="00D94FD0"/>
    <w:rsid w:val="00DA3806"/>
    <w:rsid w:val="00DA433A"/>
    <w:rsid w:val="00DA507A"/>
    <w:rsid w:val="00DA6555"/>
    <w:rsid w:val="00DB05A7"/>
    <w:rsid w:val="00DB2C41"/>
    <w:rsid w:val="00DB3C41"/>
    <w:rsid w:val="00DB4F15"/>
    <w:rsid w:val="00DB520B"/>
    <w:rsid w:val="00DC081E"/>
    <w:rsid w:val="00DC0B9E"/>
    <w:rsid w:val="00DC3224"/>
    <w:rsid w:val="00DD1A90"/>
    <w:rsid w:val="00DD5E78"/>
    <w:rsid w:val="00DE457F"/>
    <w:rsid w:val="00DE639C"/>
    <w:rsid w:val="00DE7F47"/>
    <w:rsid w:val="00DF61AF"/>
    <w:rsid w:val="00E02431"/>
    <w:rsid w:val="00E02590"/>
    <w:rsid w:val="00E0679F"/>
    <w:rsid w:val="00E06E40"/>
    <w:rsid w:val="00E10A63"/>
    <w:rsid w:val="00E169CC"/>
    <w:rsid w:val="00E16F58"/>
    <w:rsid w:val="00E24F82"/>
    <w:rsid w:val="00E26825"/>
    <w:rsid w:val="00E3030B"/>
    <w:rsid w:val="00E315FF"/>
    <w:rsid w:val="00E31D65"/>
    <w:rsid w:val="00E51372"/>
    <w:rsid w:val="00E51E00"/>
    <w:rsid w:val="00E555AF"/>
    <w:rsid w:val="00E63964"/>
    <w:rsid w:val="00E73744"/>
    <w:rsid w:val="00E815DA"/>
    <w:rsid w:val="00E86C13"/>
    <w:rsid w:val="00E90477"/>
    <w:rsid w:val="00E91F9B"/>
    <w:rsid w:val="00E9765D"/>
    <w:rsid w:val="00EA06D9"/>
    <w:rsid w:val="00EA0941"/>
    <w:rsid w:val="00EA1BCC"/>
    <w:rsid w:val="00EA4268"/>
    <w:rsid w:val="00EA4460"/>
    <w:rsid w:val="00EB10DA"/>
    <w:rsid w:val="00EB2622"/>
    <w:rsid w:val="00EC0925"/>
    <w:rsid w:val="00EC1CC5"/>
    <w:rsid w:val="00EC2CC5"/>
    <w:rsid w:val="00EC485A"/>
    <w:rsid w:val="00EC4C5C"/>
    <w:rsid w:val="00ED402F"/>
    <w:rsid w:val="00EF1C66"/>
    <w:rsid w:val="00EF7F89"/>
    <w:rsid w:val="00F018AF"/>
    <w:rsid w:val="00F01A70"/>
    <w:rsid w:val="00F050BD"/>
    <w:rsid w:val="00F1089F"/>
    <w:rsid w:val="00F11A53"/>
    <w:rsid w:val="00F15D8E"/>
    <w:rsid w:val="00F16A56"/>
    <w:rsid w:val="00F222E6"/>
    <w:rsid w:val="00F233D1"/>
    <w:rsid w:val="00F431E8"/>
    <w:rsid w:val="00F4367D"/>
    <w:rsid w:val="00F4651C"/>
    <w:rsid w:val="00F51972"/>
    <w:rsid w:val="00F51D4B"/>
    <w:rsid w:val="00F53D39"/>
    <w:rsid w:val="00F57410"/>
    <w:rsid w:val="00F7026E"/>
    <w:rsid w:val="00F72F8D"/>
    <w:rsid w:val="00F757BB"/>
    <w:rsid w:val="00F8167D"/>
    <w:rsid w:val="00F868F3"/>
    <w:rsid w:val="00F92B78"/>
    <w:rsid w:val="00F96F24"/>
    <w:rsid w:val="00FA5BC0"/>
    <w:rsid w:val="00FA6FFA"/>
    <w:rsid w:val="00FB0919"/>
    <w:rsid w:val="00FB0D0B"/>
    <w:rsid w:val="00FC0744"/>
    <w:rsid w:val="00FD7265"/>
    <w:rsid w:val="00FE0457"/>
    <w:rsid w:val="00FE2672"/>
    <w:rsid w:val="00FE2BB0"/>
    <w:rsid w:val="00FE339C"/>
    <w:rsid w:val="00FE55E1"/>
    <w:rsid w:val="00FE5D92"/>
    <w:rsid w:val="00FF53BF"/>
    <w:rsid w:val="00FF653C"/>
    <w:rsid w:val="00FF7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2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locked="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3A42"/>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51E0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E51E00"/>
  </w:style>
  <w:style w:type="paragraph" w:styleId="Rodap">
    <w:name w:val="footer"/>
    <w:basedOn w:val="Normal"/>
    <w:link w:val="RodapChar"/>
    <w:uiPriority w:val="99"/>
    <w:rsid w:val="00E51E0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E51E00"/>
  </w:style>
  <w:style w:type="character" w:styleId="Nmerodelinha">
    <w:name w:val="line number"/>
    <w:basedOn w:val="Fontepargpadro"/>
    <w:uiPriority w:val="99"/>
    <w:semiHidden/>
    <w:rsid w:val="00E51E00"/>
  </w:style>
  <w:style w:type="paragraph" w:styleId="Textodebalo">
    <w:name w:val="Balloon Text"/>
    <w:basedOn w:val="Normal"/>
    <w:link w:val="TextodebaloChar"/>
    <w:uiPriority w:val="99"/>
    <w:semiHidden/>
    <w:rsid w:val="00997EFB"/>
    <w:pPr>
      <w:spacing w:after="0" w:line="240" w:lineRule="auto"/>
    </w:pPr>
    <w:rPr>
      <w:rFonts w:ascii="Tahoma" w:hAnsi="Tahoma" w:cs="Tahoma"/>
      <w:sz w:val="16"/>
      <w:szCs w:val="16"/>
      <w:lang w:eastAsia="pt-BR"/>
    </w:rPr>
  </w:style>
  <w:style w:type="character" w:customStyle="1" w:styleId="TextodebaloChar">
    <w:name w:val="Texto de balão Char"/>
    <w:basedOn w:val="Fontepargpadro"/>
    <w:link w:val="Textodebalo"/>
    <w:uiPriority w:val="99"/>
    <w:semiHidden/>
    <w:locked/>
    <w:rsid w:val="00997EFB"/>
    <w:rPr>
      <w:rFonts w:ascii="Tahoma" w:hAnsi="Tahoma" w:cs="Tahoma"/>
      <w:sz w:val="16"/>
      <w:szCs w:val="16"/>
    </w:rPr>
  </w:style>
  <w:style w:type="character" w:styleId="Refdecomentrio">
    <w:name w:val="annotation reference"/>
    <w:basedOn w:val="Fontepargpadro"/>
    <w:uiPriority w:val="99"/>
    <w:semiHidden/>
    <w:rsid w:val="00F72F8D"/>
    <w:rPr>
      <w:sz w:val="16"/>
      <w:szCs w:val="16"/>
    </w:rPr>
  </w:style>
  <w:style w:type="paragraph" w:styleId="Textodecomentrio">
    <w:name w:val="annotation text"/>
    <w:basedOn w:val="Normal"/>
    <w:link w:val="TextodecomentrioChar"/>
    <w:uiPriority w:val="99"/>
    <w:semiHidden/>
    <w:rsid w:val="00F72F8D"/>
    <w:pPr>
      <w:spacing w:line="240"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F72F8D"/>
    <w:rPr>
      <w:sz w:val="20"/>
      <w:szCs w:val="20"/>
    </w:rPr>
  </w:style>
  <w:style w:type="paragraph" w:styleId="Assuntodocomentrio">
    <w:name w:val="annotation subject"/>
    <w:basedOn w:val="Textodecomentrio"/>
    <w:next w:val="Textodecomentrio"/>
    <w:link w:val="AssuntodocomentrioChar"/>
    <w:uiPriority w:val="99"/>
    <w:semiHidden/>
    <w:rsid w:val="00F72F8D"/>
    <w:rPr>
      <w:b/>
      <w:bCs/>
    </w:rPr>
  </w:style>
  <w:style w:type="character" w:customStyle="1" w:styleId="AssuntodocomentrioChar">
    <w:name w:val="Assunto do comentário Char"/>
    <w:basedOn w:val="TextodecomentrioChar"/>
    <w:link w:val="Assuntodocomentrio"/>
    <w:uiPriority w:val="99"/>
    <w:semiHidden/>
    <w:locked/>
    <w:rsid w:val="00F72F8D"/>
    <w:rPr>
      <w:b/>
      <w:bCs/>
      <w:sz w:val="20"/>
      <w:szCs w:val="20"/>
    </w:rPr>
  </w:style>
  <w:style w:type="character" w:customStyle="1" w:styleId="apple-converted-space">
    <w:name w:val="apple-converted-space"/>
    <w:rsid w:val="009A5DDA"/>
  </w:style>
  <w:style w:type="character" w:styleId="TextodoEspaoReservado">
    <w:name w:val="Placeholder Text"/>
    <w:basedOn w:val="Fontepargpadro"/>
    <w:uiPriority w:val="99"/>
    <w:semiHidden/>
    <w:rsid w:val="001225B4"/>
    <w:rPr>
      <w:color w:val="808080"/>
    </w:rPr>
  </w:style>
  <w:style w:type="paragraph" w:styleId="SemEspaamento">
    <w:name w:val="No Spacing"/>
    <w:basedOn w:val="Normal"/>
    <w:uiPriority w:val="99"/>
    <w:qFormat/>
    <w:rsid w:val="008B3A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7E579A"/>
    <w:pPr>
      <w:autoSpaceDE w:val="0"/>
      <w:autoSpaceDN w:val="0"/>
      <w:adjustRightInd w:val="0"/>
    </w:pPr>
    <w:rPr>
      <w:color w:val="000000"/>
      <w:sz w:val="24"/>
      <w:szCs w:val="24"/>
    </w:rPr>
  </w:style>
  <w:style w:type="character" w:customStyle="1" w:styleId="a">
    <w:name w:val="a"/>
    <w:basedOn w:val="Fontepargpadro"/>
    <w:uiPriority w:val="99"/>
    <w:rsid w:val="00E3030B"/>
  </w:style>
  <w:style w:type="character" w:styleId="Hyperlink">
    <w:name w:val="Hyperlink"/>
    <w:basedOn w:val="Fontepargpadro"/>
    <w:uiPriority w:val="99"/>
    <w:rsid w:val="00021868"/>
    <w:rPr>
      <w:color w:val="0000FF"/>
      <w:u w:val="single"/>
    </w:rPr>
  </w:style>
  <w:style w:type="character" w:styleId="HiperlinkVisitado">
    <w:name w:val="FollowedHyperlink"/>
    <w:basedOn w:val="Fontepargpadro"/>
    <w:uiPriority w:val="99"/>
    <w:semiHidden/>
    <w:rsid w:val="000218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911122">
      <w:marLeft w:val="0"/>
      <w:marRight w:val="0"/>
      <w:marTop w:val="0"/>
      <w:marBottom w:val="0"/>
      <w:divBdr>
        <w:top w:val="none" w:sz="0" w:space="0" w:color="auto"/>
        <w:left w:val="none" w:sz="0" w:space="0" w:color="auto"/>
        <w:bottom w:val="none" w:sz="0" w:space="0" w:color="auto"/>
        <w:right w:val="none" w:sz="0" w:space="0" w:color="auto"/>
      </w:divBdr>
    </w:div>
    <w:div w:id="1030911123">
      <w:marLeft w:val="0"/>
      <w:marRight w:val="0"/>
      <w:marTop w:val="0"/>
      <w:marBottom w:val="0"/>
      <w:divBdr>
        <w:top w:val="none" w:sz="0" w:space="0" w:color="auto"/>
        <w:left w:val="none" w:sz="0" w:space="0" w:color="auto"/>
        <w:bottom w:val="none" w:sz="0" w:space="0" w:color="auto"/>
        <w:right w:val="none" w:sz="0" w:space="0" w:color="auto"/>
      </w:divBdr>
      <w:divsChild>
        <w:div w:id="1030911153">
          <w:marLeft w:val="0"/>
          <w:marRight w:val="0"/>
          <w:marTop w:val="0"/>
          <w:marBottom w:val="0"/>
          <w:divBdr>
            <w:top w:val="none" w:sz="0" w:space="0" w:color="auto"/>
            <w:left w:val="none" w:sz="0" w:space="0" w:color="auto"/>
            <w:bottom w:val="none" w:sz="0" w:space="0" w:color="auto"/>
            <w:right w:val="none" w:sz="0" w:space="0" w:color="auto"/>
          </w:divBdr>
        </w:div>
        <w:div w:id="1030911156">
          <w:marLeft w:val="0"/>
          <w:marRight w:val="0"/>
          <w:marTop w:val="0"/>
          <w:marBottom w:val="0"/>
          <w:divBdr>
            <w:top w:val="none" w:sz="0" w:space="0" w:color="auto"/>
            <w:left w:val="none" w:sz="0" w:space="0" w:color="auto"/>
            <w:bottom w:val="none" w:sz="0" w:space="0" w:color="auto"/>
            <w:right w:val="none" w:sz="0" w:space="0" w:color="auto"/>
          </w:divBdr>
        </w:div>
        <w:div w:id="1030911157">
          <w:marLeft w:val="0"/>
          <w:marRight w:val="0"/>
          <w:marTop w:val="0"/>
          <w:marBottom w:val="0"/>
          <w:divBdr>
            <w:top w:val="none" w:sz="0" w:space="0" w:color="auto"/>
            <w:left w:val="none" w:sz="0" w:space="0" w:color="auto"/>
            <w:bottom w:val="none" w:sz="0" w:space="0" w:color="auto"/>
            <w:right w:val="none" w:sz="0" w:space="0" w:color="auto"/>
          </w:divBdr>
        </w:div>
      </w:divsChild>
    </w:div>
    <w:div w:id="1030911124">
      <w:marLeft w:val="0"/>
      <w:marRight w:val="0"/>
      <w:marTop w:val="0"/>
      <w:marBottom w:val="0"/>
      <w:divBdr>
        <w:top w:val="none" w:sz="0" w:space="0" w:color="auto"/>
        <w:left w:val="none" w:sz="0" w:space="0" w:color="auto"/>
        <w:bottom w:val="none" w:sz="0" w:space="0" w:color="auto"/>
        <w:right w:val="none" w:sz="0" w:space="0" w:color="auto"/>
      </w:divBdr>
    </w:div>
    <w:div w:id="1030911125">
      <w:marLeft w:val="0"/>
      <w:marRight w:val="0"/>
      <w:marTop w:val="0"/>
      <w:marBottom w:val="0"/>
      <w:divBdr>
        <w:top w:val="none" w:sz="0" w:space="0" w:color="auto"/>
        <w:left w:val="none" w:sz="0" w:space="0" w:color="auto"/>
        <w:bottom w:val="none" w:sz="0" w:space="0" w:color="auto"/>
        <w:right w:val="none" w:sz="0" w:space="0" w:color="auto"/>
      </w:divBdr>
    </w:div>
    <w:div w:id="1030911126">
      <w:marLeft w:val="0"/>
      <w:marRight w:val="0"/>
      <w:marTop w:val="0"/>
      <w:marBottom w:val="0"/>
      <w:divBdr>
        <w:top w:val="none" w:sz="0" w:space="0" w:color="auto"/>
        <w:left w:val="none" w:sz="0" w:space="0" w:color="auto"/>
        <w:bottom w:val="none" w:sz="0" w:space="0" w:color="auto"/>
        <w:right w:val="none" w:sz="0" w:space="0" w:color="auto"/>
      </w:divBdr>
    </w:div>
    <w:div w:id="1030911127">
      <w:marLeft w:val="0"/>
      <w:marRight w:val="0"/>
      <w:marTop w:val="0"/>
      <w:marBottom w:val="0"/>
      <w:divBdr>
        <w:top w:val="none" w:sz="0" w:space="0" w:color="auto"/>
        <w:left w:val="none" w:sz="0" w:space="0" w:color="auto"/>
        <w:bottom w:val="none" w:sz="0" w:space="0" w:color="auto"/>
        <w:right w:val="none" w:sz="0" w:space="0" w:color="auto"/>
      </w:divBdr>
    </w:div>
    <w:div w:id="1030911129">
      <w:marLeft w:val="0"/>
      <w:marRight w:val="0"/>
      <w:marTop w:val="0"/>
      <w:marBottom w:val="0"/>
      <w:divBdr>
        <w:top w:val="none" w:sz="0" w:space="0" w:color="auto"/>
        <w:left w:val="none" w:sz="0" w:space="0" w:color="auto"/>
        <w:bottom w:val="none" w:sz="0" w:space="0" w:color="auto"/>
        <w:right w:val="none" w:sz="0" w:space="0" w:color="auto"/>
      </w:divBdr>
      <w:divsChild>
        <w:div w:id="1030911130">
          <w:marLeft w:val="0"/>
          <w:marRight w:val="0"/>
          <w:marTop w:val="0"/>
          <w:marBottom w:val="0"/>
          <w:divBdr>
            <w:top w:val="none" w:sz="0" w:space="0" w:color="auto"/>
            <w:left w:val="none" w:sz="0" w:space="0" w:color="auto"/>
            <w:bottom w:val="none" w:sz="0" w:space="0" w:color="auto"/>
            <w:right w:val="none" w:sz="0" w:space="0" w:color="auto"/>
          </w:divBdr>
          <w:divsChild>
            <w:div w:id="1030911138">
              <w:marLeft w:val="60"/>
              <w:marRight w:val="0"/>
              <w:marTop w:val="0"/>
              <w:marBottom w:val="0"/>
              <w:divBdr>
                <w:top w:val="none" w:sz="0" w:space="0" w:color="auto"/>
                <w:left w:val="none" w:sz="0" w:space="0" w:color="auto"/>
                <w:bottom w:val="none" w:sz="0" w:space="0" w:color="auto"/>
                <w:right w:val="none" w:sz="0" w:space="0" w:color="auto"/>
              </w:divBdr>
              <w:divsChild>
                <w:div w:id="1030911143">
                  <w:marLeft w:val="0"/>
                  <w:marRight w:val="0"/>
                  <w:marTop w:val="0"/>
                  <w:marBottom w:val="0"/>
                  <w:divBdr>
                    <w:top w:val="none" w:sz="0" w:space="0" w:color="auto"/>
                    <w:left w:val="none" w:sz="0" w:space="0" w:color="auto"/>
                    <w:bottom w:val="none" w:sz="0" w:space="0" w:color="auto"/>
                    <w:right w:val="none" w:sz="0" w:space="0" w:color="auto"/>
                  </w:divBdr>
                  <w:divsChild>
                    <w:div w:id="1030911133">
                      <w:marLeft w:val="0"/>
                      <w:marRight w:val="0"/>
                      <w:marTop w:val="0"/>
                      <w:marBottom w:val="120"/>
                      <w:divBdr>
                        <w:top w:val="single" w:sz="6" w:space="0" w:color="F5F5F5"/>
                        <w:left w:val="single" w:sz="6" w:space="0" w:color="F5F5F5"/>
                        <w:bottom w:val="single" w:sz="6" w:space="0" w:color="F5F5F5"/>
                        <w:right w:val="single" w:sz="6" w:space="0" w:color="F5F5F5"/>
                      </w:divBdr>
                      <w:divsChild>
                        <w:div w:id="1030911139">
                          <w:marLeft w:val="0"/>
                          <w:marRight w:val="0"/>
                          <w:marTop w:val="0"/>
                          <w:marBottom w:val="0"/>
                          <w:divBdr>
                            <w:top w:val="none" w:sz="0" w:space="0" w:color="auto"/>
                            <w:left w:val="none" w:sz="0" w:space="0" w:color="auto"/>
                            <w:bottom w:val="none" w:sz="0" w:space="0" w:color="auto"/>
                            <w:right w:val="none" w:sz="0" w:space="0" w:color="auto"/>
                          </w:divBdr>
                          <w:divsChild>
                            <w:div w:id="10309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1131">
          <w:marLeft w:val="0"/>
          <w:marRight w:val="0"/>
          <w:marTop w:val="0"/>
          <w:marBottom w:val="0"/>
          <w:divBdr>
            <w:top w:val="none" w:sz="0" w:space="0" w:color="auto"/>
            <w:left w:val="none" w:sz="0" w:space="0" w:color="auto"/>
            <w:bottom w:val="none" w:sz="0" w:space="0" w:color="auto"/>
            <w:right w:val="none" w:sz="0" w:space="0" w:color="auto"/>
          </w:divBdr>
          <w:divsChild>
            <w:div w:id="1030911134">
              <w:marLeft w:val="0"/>
              <w:marRight w:val="60"/>
              <w:marTop w:val="0"/>
              <w:marBottom w:val="0"/>
              <w:divBdr>
                <w:top w:val="none" w:sz="0" w:space="0" w:color="auto"/>
                <w:left w:val="none" w:sz="0" w:space="0" w:color="auto"/>
                <w:bottom w:val="none" w:sz="0" w:space="0" w:color="auto"/>
                <w:right w:val="none" w:sz="0" w:space="0" w:color="auto"/>
              </w:divBdr>
              <w:divsChild>
                <w:div w:id="1030911136">
                  <w:marLeft w:val="0"/>
                  <w:marRight w:val="0"/>
                  <w:marTop w:val="0"/>
                  <w:marBottom w:val="120"/>
                  <w:divBdr>
                    <w:top w:val="single" w:sz="6" w:space="0" w:color="C0C0C0"/>
                    <w:left w:val="single" w:sz="6" w:space="0" w:color="D9D9D9"/>
                    <w:bottom w:val="single" w:sz="6" w:space="0" w:color="D9D9D9"/>
                    <w:right w:val="single" w:sz="6" w:space="0" w:color="D9D9D9"/>
                  </w:divBdr>
                  <w:divsChild>
                    <w:div w:id="1030911135">
                      <w:marLeft w:val="0"/>
                      <w:marRight w:val="0"/>
                      <w:marTop w:val="0"/>
                      <w:marBottom w:val="0"/>
                      <w:divBdr>
                        <w:top w:val="none" w:sz="0" w:space="0" w:color="auto"/>
                        <w:left w:val="none" w:sz="0" w:space="0" w:color="auto"/>
                        <w:bottom w:val="none" w:sz="0" w:space="0" w:color="auto"/>
                        <w:right w:val="none" w:sz="0" w:space="0" w:color="auto"/>
                      </w:divBdr>
                      <w:divsChild>
                        <w:div w:id="10309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1132">
      <w:marLeft w:val="0"/>
      <w:marRight w:val="0"/>
      <w:marTop w:val="0"/>
      <w:marBottom w:val="0"/>
      <w:divBdr>
        <w:top w:val="none" w:sz="0" w:space="0" w:color="auto"/>
        <w:left w:val="none" w:sz="0" w:space="0" w:color="auto"/>
        <w:bottom w:val="none" w:sz="0" w:space="0" w:color="auto"/>
        <w:right w:val="none" w:sz="0" w:space="0" w:color="auto"/>
      </w:divBdr>
    </w:div>
    <w:div w:id="1030911137">
      <w:marLeft w:val="0"/>
      <w:marRight w:val="0"/>
      <w:marTop w:val="0"/>
      <w:marBottom w:val="0"/>
      <w:divBdr>
        <w:top w:val="none" w:sz="0" w:space="0" w:color="auto"/>
        <w:left w:val="none" w:sz="0" w:space="0" w:color="auto"/>
        <w:bottom w:val="none" w:sz="0" w:space="0" w:color="auto"/>
        <w:right w:val="none" w:sz="0" w:space="0" w:color="auto"/>
      </w:divBdr>
    </w:div>
    <w:div w:id="1030911140">
      <w:marLeft w:val="0"/>
      <w:marRight w:val="0"/>
      <w:marTop w:val="0"/>
      <w:marBottom w:val="0"/>
      <w:divBdr>
        <w:top w:val="none" w:sz="0" w:space="0" w:color="auto"/>
        <w:left w:val="none" w:sz="0" w:space="0" w:color="auto"/>
        <w:bottom w:val="none" w:sz="0" w:space="0" w:color="auto"/>
        <w:right w:val="none" w:sz="0" w:space="0" w:color="auto"/>
      </w:divBdr>
    </w:div>
    <w:div w:id="1030911141">
      <w:marLeft w:val="0"/>
      <w:marRight w:val="0"/>
      <w:marTop w:val="0"/>
      <w:marBottom w:val="0"/>
      <w:divBdr>
        <w:top w:val="none" w:sz="0" w:space="0" w:color="auto"/>
        <w:left w:val="none" w:sz="0" w:space="0" w:color="auto"/>
        <w:bottom w:val="none" w:sz="0" w:space="0" w:color="auto"/>
        <w:right w:val="none" w:sz="0" w:space="0" w:color="auto"/>
      </w:divBdr>
    </w:div>
    <w:div w:id="1030911144">
      <w:marLeft w:val="0"/>
      <w:marRight w:val="0"/>
      <w:marTop w:val="0"/>
      <w:marBottom w:val="0"/>
      <w:divBdr>
        <w:top w:val="none" w:sz="0" w:space="0" w:color="auto"/>
        <w:left w:val="none" w:sz="0" w:space="0" w:color="auto"/>
        <w:bottom w:val="none" w:sz="0" w:space="0" w:color="auto"/>
        <w:right w:val="none" w:sz="0" w:space="0" w:color="auto"/>
      </w:divBdr>
    </w:div>
    <w:div w:id="1030911145">
      <w:marLeft w:val="0"/>
      <w:marRight w:val="0"/>
      <w:marTop w:val="0"/>
      <w:marBottom w:val="0"/>
      <w:divBdr>
        <w:top w:val="none" w:sz="0" w:space="0" w:color="auto"/>
        <w:left w:val="none" w:sz="0" w:space="0" w:color="auto"/>
        <w:bottom w:val="none" w:sz="0" w:space="0" w:color="auto"/>
        <w:right w:val="none" w:sz="0" w:space="0" w:color="auto"/>
      </w:divBdr>
    </w:div>
    <w:div w:id="1030911146">
      <w:marLeft w:val="0"/>
      <w:marRight w:val="0"/>
      <w:marTop w:val="0"/>
      <w:marBottom w:val="0"/>
      <w:divBdr>
        <w:top w:val="none" w:sz="0" w:space="0" w:color="auto"/>
        <w:left w:val="none" w:sz="0" w:space="0" w:color="auto"/>
        <w:bottom w:val="none" w:sz="0" w:space="0" w:color="auto"/>
        <w:right w:val="none" w:sz="0" w:space="0" w:color="auto"/>
      </w:divBdr>
    </w:div>
    <w:div w:id="1030911147">
      <w:marLeft w:val="0"/>
      <w:marRight w:val="0"/>
      <w:marTop w:val="0"/>
      <w:marBottom w:val="0"/>
      <w:divBdr>
        <w:top w:val="none" w:sz="0" w:space="0" w:color="auto"/>
        <w:left w:val="none" w:sz="0" w:space="0" w:color="auto"/>
        <w:bottom w:val="none" w:sz="0" w:space="0" w:color="auto"/>
        <w:right w:val="none" w:sz="0" w:space="0" w:color="auto"/>
      </w:divBdr>
    </w:div>
    <w:div w:id="1030911148">
      <w:marLeft w:val="0"/>
      <w:marRight w:val="0"/>
      <w:marTop w:val="0"/>
      <w:marBottom w:val="0"/>
      <w:divBdr>
        <w:top w:val="none" w:sz="0" w:space="0" w:color="auto"/>
        <w:left w:val="none" w:sz="0" w:space="0" w:color="auto"/>
        <w:bottom w:val="none" w:sz="0" w:space="0" w:color="auto"/>
        <w:right w:val="none" w:sz="0" w:space="0" w:color="auto"/>
      </w:divBdr>
    </w:div>
    <w:div w:id="1030911149">
      <w:marLeft w:val="0"/>
      <w:marRight w:val="0"/>
      <w:marTop w:val="0"/>
      <w:marBottom w:val="0"/>
      <w:divBdr>
        <w:top w:val="none" w:sz="0" w:space="0" w:color="auto"/>
        <w:left w:val="none" w:sz="0" w:space="0" w:color="auto"/>
        <w:bottom w:val="none" w:sz="0" w:space="0" w:color="auto"/>
        <w:right w:val="none" w:sz="0" w:space="0" w:color="auto"/>
      </w:divBdr>
    </w:div>
    <w:div w:id="1030911150">
      <w:marLeft w:val="0"/>
      <w:marRight w:val="0"/>
      <w:marTop w:val="0"/>
      <w:marBottom w:val="0"/>
      <w:divBdr>
        <w:top w:val="none" w:sz="0" w:space="0" w:color="auto"/>
        <w:left w:val="none" w:sz="0" w:space="0" w:color="auto"/>
        <w:bottom w:val="none" w:sz="0" w:space="0" w:color="auto"/>
        <w:right w:val="none" w:sz="0" w:space="0" w:color="auto"/>
      </w:divBdr>
    </w:div>
    <w:div w:id="1030911151">
      <w:marLeft w:val="0"/>
      <w:marRight w:val="0"/>
      <w:marTop w:val="0"/>
      <w:marBottom w:val="0"/>
      <w:divBdr>
        <w:top w:val="none" w:sz="0" w:space="0" w:color="auto"/>
        <w:left w:val="none" w:sz="0" w:space="0" w:color="auto"/>
        <w:bottom w:val="none" w:sz="0" w:space="0" w:color="auto"/>
        <w:right w:val="none" w:sz="0" w:space="0" w:color="auto"/>
      </w:divBdr>
    </w:div>
    <w:div w:id="1030911152">
      <w:marLeft w:val="0"/>
      <w:marRight w:val="0"/>
      <w:marTop w:val="0"/>
      <w:marBottom w:val="0"/>
      <w:divBdr>
        <w:top w:val="none" w:sz="0" w:space="0" w:color="auto"/>
        <w:left w:val="none" w:sz="0" w:space="0" w:color="auto"/>
        <w:bottom w:val="none" w:sz="0" w:space="0" w:color="auto"/>
        <w:right w:val="none" w:sz="0" w:space="0" w:color="auto"/>
      </w:divBdr>
    </w:div>
    <w:div w:id="1030911154">
      <w:marLeft w:val="0"/>
      <w:marRight w:val="0"/>
      <w:marTop w:val="0"/>
      <w:marBottom w:val="0"/>
      <w:divBdr>
        <w:top w:val="none" w:sz="0" w:space="0" w:color="auto"/>
        <w:left w:val="none" w:sz="0" w:space="0" w:color="auto"/>
        <w:bottom w:val="none" w:sz="0" w:space="0" w:color="auto"/>
        <w:right w:val="none" w:sz="0" w:space="0" w:color="auto"/>
      </w:divBdr>
    </w:div>
    <w:div w:id="1030911155">
      <w:marLeft w:val="0"/>
      <w:marRight w:val="0"/>
      <w:marTop w:val="0"/>
      <w:marBottom w:val="0"/>
      <w:divBdr>
        <w:top w:val="none" w:sz="0" w:space="0" w:color="auto"/>
        <w:left w:val="none" w:sz="0" w:space="0" w:color="auto"/>
        <w:bottom w:val="none" w:sz="0" w:space="0" w:color="auto"/>
        <w:right w:val="none" w:sz="0" w:space="0" w:color="auto"/>
      </w:divBdr>
    </w:div>
    <w:div w:id="1030911158">
      <w:marLeft w:val="0"/>
      <w:marRight w:val="0"/>
      <w:marTop w:val="0"/>
      <w:marBottom w:val="0"/>
      <w:divBdr>
        <w:top w:val="none" w:sz="0" w:space="0" w:color="auto"/>
        <w:left w:val="none" w:sz="0" w:space="0" w:color="auto"/>
        <w:bottom w:val="none" w:sz="0" w:space="0" w:color="auto"/>
        <w:right w:val="none" w:sz="0" w:space="0" w:color="auto"/>
      </w:divBdr>
    </w:div>
    <w:div w:id="1030911159">
      <w:marLeft w:val="0"/>
      <w:marRight w:val="0"/>
      <w:marTop w:val="0"/>
      <w:marBottom w:val="0"/>
      <w:divBdr>
        <w:top w:val="none" w:sz="0" w:space="0" w:color="auto"/>
        <w:left w:val="none" w:sz="0" w:space="0" w:color="auto"/>
        <w:bottom w:val="none" w:sz="0" w:space="0" w:color="auto"/>
        <w:right w:val="none" w:sz="0" w:space="0" w:color="auto"/>
      </w:divBdr>
    </w:div>
    <w:div w:id="1030911160">
      <w:marLeft w:val="0"/>
      <w:marRight w:val="0"/>
      <w:marTop w:val="0"/>
      <w:marBottom w:val="0"/>
      <w:divBdr>
        <w:top w:val="none" w:sz="0" w:space="0" w:color="auto"/>
        <w:left w:val="none" w:sz="0" w:space="0" w:color="auto"/>
        <w:bottom w:val="none" w:sz="0" w:space="0" w:color="auto"/>
        <w:right w:val="none" w:sz="0" w:space="0" w:color="auto"/>
      </w:divBdr>
    </w:div>
    <w:div w:id="1030911161">
      <w:marLeft w:val="0"/>
      <w:marRight w:val="0"/>
      <w:marTop w:val="0"/>
      <w:marBottom w:val="0"/>
      <w:divBdr>
        <w:top w:val="none" w:sz="0" w:space="0" w:color="auto"/>
        <w:left w:val="none" w:sz="0" w:space="0" w:color="auto"/>
        <w:bottom w:val="none" w:sz="0" w:space="0" w:color="auto"/>
        <w:right w:val="none" w:sz="0" w:space="0" w:color="auto"/>
      </w:divBdr>
    </w:div>
    <w:div w:id="1030911162">
      <w:marLeft w:val="0"/>
      <w:marRight w:val="0"/>
      <w:marTop w:val="0"/>
      <w:marBottom w:val="0"/>
      <w:divBdr>
        <w:top w:val="none" w:sz="0" w:space="0" w:color="auto"/>
        <w:left w:val="none" w:sz="0" w:space="0" w:color="auto"/>
        <w:bottom w:val="none" w:sz="0" w:space="0" w:color="auto"/>
        <w:right w:val="none" w:sz="0" w:space="0" w:color="auto"/>
      </w:divBdr>
    </w:div>
    <w:div w:id="1030911163">
      <w:marLeft w:val="0"/>
      <w:marRight w:val="0"/>
      <w:marTop w:val="0"/>
      <w:marBottom w:val="0"/>
      <w:divBdr>
        <w:top w:val="none" w:sz="0" w:space="0" w:color="auto"/>
        <w:left w:val="none" w:sz="0" w:space="0" w:color="auto"/>
        <w:bottom w:val="none" w:sz="0" w:space="0" w:color="auto"/>
        <w:right w:val="none" w:sz="0" w:space="0" w:color="auto"/>
      </w:divBdr>
    </w:div>
    <w:div w:id="1030911164">
      <w:marLeft w:val="0"/>
      <w:marRight w:val="0"/>
      <w:marTop w:val="0"/>
      <w:marBottom w:val="0"/>
      <w:divBdr>
        <w:top w:val="none" w:sz="0" w:space="0" w:color="auto"/>
        <w:left w:val="none" w:sz="0" w:space="0" w:color="auto"/>
        <w:bottom w:val="none" w:sz="0" w:space="0" w:color="auto"/>
        <w:right w:val="none" w:sz="0" w:space="0" w:color="auto"/>
      </w:divBdr>
    </w:div>
    <w:div w:id="1030911165">
      <w:marLeft w:val="0"/>
      <w:marRight w:val="0"/>
      <w:marTop w:val="0"/>
      <w:marBottom w:val="0"/>
      <w:divBdr>
        <w:top w:val="none" w:sz="0" w:space="0" w:color="auto"/>
        <w:left w:val="none" w:sz="0" w:space="0" w:color="auto"/>
        <w:bottom w:val="none" w:sz="0" w:space="0" w:color="auto"/>
        <w:right w:val="none" w:sz="0" w:space="0" w:color="auto"/>
      </w:divBdr>
    </w:div>
    <w:div w:id="1030911166">
      <w:marLeft w:val="0"/>
      <w:marRight w:val="0"/>
      <w:marTop w:val="0"/>
      <w:marBottom w:val="0"/>
      <w:divBdr>
        <w:top w:val="none" w:sz="0" w:space="0" w:color="auto"/>
        <w:left w:val="none" w:sz="0" w:space="0" w:color="auto"/>
        <w:bottom w:val="none" w:sz="0" w:space="0" w:color="auto"/>
        <w:right w:val="none" w:sz="0" w:space="0" w:color="auto"/>
      </w:divBdr>
    </w:div>
    <w:div w:id="1030911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ttes.cnpq.br/1847772609394018" TargetMode="External"/><Relationship Id="rId13" Type="http://schemas.openxmlformats.org/officeDocument/2006/relationships/hyperlink" Target="http://lattes.cnpq.br/0453531162944843" TargetMode="External"/><Relationship Id="rId18" Type="http://schemas.openxmlformats.org/officeDocument/2006/relationships/hyperlink" Target="http://lattes.cnpq.br/997774173796135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lattes.cnpq.br/0204201116074938" TargetMode="External"/><Relationship Id="rId7" Type="http://schemas.microsoft.com/office/2011/relationships/commentsExtended" Target="commentsExtended.xml"/><Relationship Id="rId12" Type="http://schemas.openxmlformats.org/officeDocument/2006/relationships/hyperlink" Target="http://lattes.cnpq.br/2450390161455265" TargetMode="External"/><Relationship Id="rId17" Type="http://schemas.openxmlformats.org/officeDocument/2006/relationships/hyperlink" Target="http://lattes.cnpq.br/528246724572120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s.fed.us/rm/pubs_rm/rm_gtr200/rm_gtr200_218_222.pdf" TargetMode="External"/><Relationship Id="rId20" Type="http://schemas.openxmlformats.org/officeDocument/2006/relationships/hyperlink" Target="http://lattes.cnpq.br/0685918372715536"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lattes.cnpq.br/0353756712945533"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lattes.cnpq.br/4127505406039950" TargetMode="External"/><Relationship Id="rId23" Type="http://schemas.openxmlformats.org/officeDocument/2006/relationships/hyperlink" Target="http://lattes.cnpq.br/0976057121045070" TargetMode="External"/><Relationship Id="rId10" Type="http://schemas.openxmlformats.org/officeDocument/2006/relationships/hyperlink" Target="http://lattes.cnpq.br/3861474565660261" TargetMode="External"/><Relationship Id="rId19" Type="http://schemas.openxmlformats.org/officeDocument/2006/relationships/hyperlink" Target="http://lattes.cnpq.br/3001102281550301" TargetMode="External"/><Relationship Id="rId4" Type="http://schemas.openxmlformats.org/officeDocument/2006/relationships/footnotes" Target="footnotes.xml"/><Relationship Id="rId9" Type="http://schemas.openxmlformats.org/officeDocument/2006/relationships/hyperlink" Target="http://lattes.cnpq.br/4474590524160766" TargetMode="External"/><Relationship Id="rId14" Type="http://schemas.openxmlformats.org/officeDocument/2006/relationships/hyperlink" Target="http://lattes.cnpq.br/3624066484009682" TargetMode="External"/><Relationship Id="rId22" Type="http://schemas.openxmlformats.org/officeDocument/2006/relationships/hyperlink" Target="http://lattes.cnpq.br/93002606625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3682</Words>
  <Characters>19884</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QUALIDADE DE MUDAS DE ESPÉCIES FLORESTAIS NATIVAS SOB EFEITO DE DIFERENTES RECIPIENTES E DOSAGENS DE FERTILIZANTE FOSFATADO</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 DE MUDAS DE ESPÉCIES FLORESTAIS NATIVAS SOB EFEITO DE DIFERENTES RECIPIENTES E DOSAGENS DE FERTILIZANTE FOSFATADO</dc:title>
  <dc:subject/>
  <dc:creator/>
  <cp:keywords/>
  <dc:description/>
  <cp:lastModifiedBy/>
  <cp:revision>1</cp:revision>
  <dcterms:created xsi:type="dcterms:W3CDTF">2016-08-30T22:37:00Z</dcterms:created>
  <dcterms:modified xsi:type="dcterms:W3CDTF">2016-08-30T22:37:00Z</dcterms:modified>
</cp:coreProperties>
</file>