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12" w:rsidRPr="00905845" w:rsidRDefault="00501712" w:rsidP="005017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05845">
        <w:rPr>
          <w:rFonts w:ascii="Times New Roman" w:hAnsi="Times New Roman"/>
          <w:sz w:val="20"/>
          <w:szCs w:val="20"/>
        </w:rPr>
        <w:t xml:space="preserve">Tabela 1. Principais estudos sobre o efeito de </w:t>
      </w:r>
      <w:proofErr w:type="spellStart"/>
      <w:r w:rsidRPr="00905845">
        <w:rPr>
          <w:rFonts w:ascii="Times New Roman" w:hAnsi="Times New Roman"/>
          <w:sz w:val="20"/>
          <w:szCs w:val="20"/>
        </w:rPr>
        <w:t>ultradiluições</w:t>
      </w:r>
      <w:proofErr w:type="spellEnd"/>
      <w:r w:rsidRPr="00905845">
        <w:rPr>
          <w:rFonts w:ascii="Times New Roman" w:hAnsi="Times New Roman"/>
          <w:sz w:val="20"/>
          <w:szCs w:val="20"/>
        </w:rPr>
        <w:t xml:space="preserve"> (dinamizações) homeopáticas em modelos fitopatológicos</w:t>
      </w:r>
      <w:r w:rsidR="00AF5A56" w:rsidRPr="00905845">
        <w:rPr>
          <w:rFonts w:ascii="Times New Roman" w:hAnsi="Times New Roman"/>
          <w:sz w:val="20"/>
          <w:szCs w:val="20"/>
        </w:rPr>
        <w:t xml:space="preserve"> (adaptado de </w:t>
      </w:r>
      <w:r w:rsidRPr="00905845">
        <w:rPr>
          <w:rFonts w:ascii="Times New Roman" w:hAnsi="Times New Roman"/>
          <w:sz w:val="20"/>
          <w:szCs w:val="20"/>
        </w:rPr>
        <w:t>Betti et al.</w:t>
      </w:r>
      <w:r w:rsidR="00AF5A56" w:rsidRPr="00905845">
        <w:rPr>
          <w:rFonts w:ascii="Times New Roman" w:hAnsi="Times New Roman"/>
          <w:sz w:val="20"/>
          <w:szCs w:val="20"/>
        </w:rPr>
        <w:t xml:space="preserve">, </w:t>
      </w:r>
      <w:r w:rsidRPr="00905845">
        <w:rPr>
          <w:rFonts w:ascii="Times New Roman" w:hAnsi="Times New Roman"/>
          <w:sz w:val="20"/>
          <w:szCs w:val="20"/>
        </w:rPr>
        <w:t xml:space="preserve">2009). </w:t>
      </w:r>
    </w:p>
    <w:tbl>
      <w:tblPr>
        <w:tblW w:w="9002" w:type="dxa"/>
        <w:jc w:val="center"/>
        <w:tblBorders>
          <w:top w:val="single" w:sz="4" w:space="0" w:color="525252"/>
          <w:bottom w:val="single" w:sz="4" w:space="0" w:color="525252"/>
          <w:insideH w:val="single" w:sz="4" w:space="0" w:color="525252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967"/>
        <w:gridCol w:w="1156"/>
        <w:gridCol w:w="1456"/>
        <w:gridCol w:w="1145"/>
        <w:gridCol w:w="1144"/>
        <w:gridCol w:w="1078"/>
        <w:gridCol w:w="1508"/>
      </w:tblGrid>
      <w:tr w:rsidR="00501712" w:rsidRPr="00905845" w:rsidTr="00075180">
        <w:trPr>
          <w:trHeight w:val="987"/>
          <w:jc w:val="center"/>
        </w:trPr>
        <w:tc>
          <w:tcPr>
            <w:tcW w:w="692" w:type="dxa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Autor e ano</w:t>
            </w:r>
          </w:p>
        </w:tc>
        <w:tc>
          <w:tcPr>
            <w:tcW w:w="865" w:type="dxa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0" w:type="auto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Parâmetro avaliado</w:t>
            </w:r>
          </w:p>
        </w:tc>
        <w:tc>
          <w:tcPr>
            <w:tcW w:w="1121" w:type="dxa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Tratamento (substância e dinamização)</w:t>
            </w:r>
          </w:p>
        </w:tc>
        <w:tc>
          <w:tcPr>
            <w:tcW w:w="1002" w:type="dxa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Controle</w:t>
            </w:r>
          </w:p>
        </w:tc>
        <w:tc>
          <w:tcPr>
            <w:tcW w:w="0" w:type="auto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Frequência e forma de aplicação do tratamento</w:t>
            </w:r>
          </w:p>
        </w:tc>
        <w:tc>
          <w:tcPr>
            <w:tcW w:w="1755" w:type="dxa"/>
            <w:shd w:val="clear" w:color="auto" w:fill="FFFFFF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905845">
              <w:rPr>
                <w:rFonts w:ascii="Times New Roman" w:hAnsi="Times New Roman"/>
                <w:b/>
                <w:bCs/>
                <w:sz w:val="20"/>
                <w:szCs w:val="20"/>
              </w:rPr>
              <w:t>Efeitos</w:t>
            </w:r>
          </w:p>
        </w:tc>
      </w:tr>
      <w:tr w:rsidR="00501712" w:rsidRPr="00905845" w:rsidTr="00075180">
        <w:trPr>
          <w:trHeight w:val="2141"/>
          <w:jc w:val="center"/>
        </w:trPr>
        <w:tc>
          <w:tcPr>
            <w:tcW w:w="692" w:type="dxa"/>
          </w:tcPr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proofErr w:type="spellStart"/>
            <w:r w:rsidRPr="00905845">
              <w:rPr>
                <w:rFonts w:ascii="Times New Roman" w:hAnsi="Times New Roman"/>
                <w:sz w:val="20"/>
                <w:szCs w:val="20"/>
                <w:lang w:eastAsia="pt-BR"/>
              </w:rPr>
              <w:t>Shah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  <w:lang w:eastAsia="pt-BR"/>
              </w:rPr>
              <w:t>-Rossi et al., 2009</w:t>
            </w:r>
          </w:p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 xml:space="preserve">Arabidopsis </w:t>
            </w:r>
            <w:proofErr w:type="spellStart"/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thaliana</w:t>
            </w:r>
            <w:proofErr w:type="spellEnd"/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Verificar o efeito de diferentes substâncias dinamizadas sobre a infecção da bactéria 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Pseudomonas syringae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na planta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Taxa de infecção nas folhas</w:t>
            </w:r>
          </w:p>
        </w:tc>
        <w:tc>
          <w:tcPr>
            <w:tcW w:w="1121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30 substâncias dinamizadas na 30d</w:t>
            </w:r>
          </w:p>
        </w:tc>
        <w:tc>
          <w:tcPr>
            <w:tcW w:w="1002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Água; água dinamizada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Mergulhando as plantas nos tratamentos, depositando 1,5 mL no centro da roseta da planta e irrigando a planta com os tratamentos</w:t>
            </w:r>
          </w:p>
        </w:tc>
        <w:tc>
          <w:tcPr>
            <w:tcW w:w="175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Redução da infecção pelo complexo homeopático </w:t>
            </w:r>
            <w:proofErr w:type="spellStart"/>
            <w:r w:rsidRPr="00905845">
              <w:rPr>
                <w:rFonts w:ascii="Times New Roman" w:hAnsi="Times New Roman"/>
                <w:sz w:val="20"/>
                <w:szCs w:val="20"/>
              </w:rPr>
              <w:t>Biplantol</w:t>
            </w:r>
            <w:proofErr w:type="spellEnd"/>
          </w:p>
        </w:tc>
      </w:tr>
      <w:tr w:rsidR="00501712" w:rsidRPr="00905845" w:rsidTr="00075180">
        <w:trPr>
          <w:trHeight w:val="2685"/>
          <w:jc w:val="center"/>
        </w:trPr>
        <w:tc>
          <w:tcPr>
            <w:tcW w:w="692" w:type="dxa"/>
          </w:tcPr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845">
              <w:rPr>
                <w:rFonts w:ascii="Times New Roman" w:hAnsi="Times New Roman"/>
                <w:sz w:val="20"/>
                <w:szCs w:val="20"/>
              </w:rPr>
              <w:t>Datta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>, 2006</w:t>
            </w:r>
          </w:p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Amoreira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Verificar o efeito de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 xml:space="preserve"> Cina </w:t>
            </w:r>
            <w:proofErr w:type="spellStart"/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maritma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 xml:space="preserve"> sobre </w:t>
            </w:r>
            <w:r w:rsidRPr="00905845">
              <w:rPr>
                <w:rFonts w:ascii="Times New Roman" w:hAnsi="Times New Roman"/>
                <w:i/>
                <w:iCs/>
                <w:sz w:val="20"/>
                <w:szCs w:val="20"/>
              </w:rPr>
              <w:t>Meloidogyne incognita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em amoreiras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Variáveis de crescimento da planta e de infecção</w:t>
            </w:r>
          </w:p>
        </w:tc>
        <w:tc>
          <w:tcPr>
            <w:tcW w:w="1121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Cina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200c e 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Cina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T.M. (tintura mãe) em tratamento antes e após a inoculação</w:t>
            </w:r>
          </w:p>
        </w:tc>
        <w:tc>
          <w:tcPr>
            <w:tcW w:w="1002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Solução hidroalcoólica 90%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As plantas foram pulverizadas quatro vezes, com um intervalo de 3 dias, com 10 mL do tratamento por planta; 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Cina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T.M. foi diluída 1:40 e 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Cina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200c a 1:20 para pulverização</w:t>
            </w:r>
          </w:p>
        </w:tc>
        <w:tc>
          <w:tcPr>
            <w:tcW w:w="175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Os tratamentos aumentaram o comprimento, o peso fresco de ramos e raízes, o n° de folhas por planta e a área foliar; reduziram o n° de galhas por planta; a aplicação antes da inoculação foi mais eficaz</w:t>
            </w:r>
          </w:p>
        </w:tc>
      </w:tr>
      <w:tr w:rsidR="00501712" w:rsidRPr="00905845" w:rsidTr="00075180">
        <w:trPr>
          <w:trHeight w:val="2478"/>
          <w:jc w:val="center"/>
        </w:trPr>
        <w:tc>
          <w:tcPr>
            <w:tcW w:w="692" w:type="dxa"/>
          </w:tcPr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proofErr w:type="spellStart"/>
            <w:r w:rsidRPr="00905845">
              <w:rPr>
                <w:rFonts w:ascii="Times New Roman" w:hAnsi="Times New Roman"/>
                <w:sz w:val="20"/>
                <w:szCs w:val="20"/>
                <w:lang w:val="es-ES_tradnl"/>
              </w:rPr>
              <w:t>Sukul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et al., 2006</w:t>
            </w:r>
          </w:p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Quiabo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Verificar a influência de medicamentos homeopáticos em plantas de quiabo infectadas com o nematoide 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Meloidogyne incognita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Número de galhas e população do </w:t>
            </w:r>
            <w:proofErr w:type="spellStart"/>
            <w:r w:rsidRPr="00905845">
              <w:rPr>
                <w:rFonts w:ascii="Times New Roman" w:hAnsi="Times New Roman"/>
                <w:sz w:val="20"/>
                <w:szCs w:val="20"/>
              </w:rPr>
              <w:t>nematóide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 xml:space="preserve"> nas raízes</w:t>
            </w:r>
          </w:p>
        </w:tc>
        <w:tc>
          <w:tcPr>
            <w:tcW w:w="1121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es-ES_tradnl"/>
              </w:rPr>
            </w:pPr>
            <w:r w:rsidRPr="00905845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>Cina</w:t>
            </w:r>
            <w:r w:rsidRPr="00905845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30c, Santonin 30c</w:t>
            </w:r>
          </w:p>
        </w:tc>
        <w:tc>
          <w:tcPr>
            <w:tcW w:w="1002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Água; solução hidroalcoólica 30c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Pulverização durante dez dias, iniciando 7 dias após a inoculação. Cada planta recebeu de 5 a 10 mL do tratamento diluído em água na proporção 1:1000</w:t>
            </w:r>
          </w:p>
        </w:tc>
        <w:tc>
          <w:tcPr>
            <w:tcW w:w="175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O medicamento 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Cina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30c e o Santonin 30c reduziu o nº de galhas e a população do </w:t>
            </w:r>
            <w:proofErr w:type="spellStart"/>
            <w:r w:rsidRPr="00905845">
              <w:rPr>
                <w:rFonts w:ascii="Times New Roman" w:hAnsi="Times New Roman"/>
                <w:sz w:val="20"/>
                <w:szCs w:val="20"/>
              </w:rPr>
              <w:t>nematóide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 xml:space="preserve"> nas raízes; e aumentou a população no solo</w:t>
            </w:r>
          </w:p>
        </w:tc>
      </w:tr>
      <w:tr w:rsidR="00501712" w:rsidRPr="00905845" w:rsidTr="00075180">
        <w:trPr>
          <w:trHeight w:val="2075"/>
          <w:jc w:val="center"/>
        </w:trPr>
        <w:tc>
          <w:tcPr>
            <w:tcW w:w="692" w:type="dxa"/>
          </w:tcPr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Betti et al., </w:t>
            </w:r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2003</w:t>
            </w:r>
          </w:p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Fumo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Estimar os efeitos do </w:t>
            </w:r>
            <w:proofErr w:type="spellStart"/>
            <w:r w:rsidRPr="00905845">
              <w:rPr>
                <w:rFonts w:ascii="Times New Roman" w:hAnsi="Times New Roman"/>
                <w:sz w:val="20"/>
                <w:szCs w:val="20"/>
              </w:rPr>
              <w:t>trióxido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 xml:space="preserve"> de arsênico em plantas de fumo inoculadas com o vírus do mosaico do fumo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Lesões de hipersensibilidade</w:t>
            </w:r>
          </w:p>
        </w:tc>
        <w:tc>
          <w:tcPr>
            <w:tcW w:w="1121" w:type="dxa"/>
          </w:tcPr>
          <w:p w:rsidR="00501712" w:rsidRPr="00905845" w:rsidRDefault="00501712" w:rsidP="00AF5A56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Dinamizações de As</w:t>
            </w:r>
            <w:r w:rsidRPr="0090584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>O</w:t>
            </w:r>
            <w:r w:rsidRPr="0090584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(5</w:t>
            </w:r>
            <w:r w:rsidR="00AF5A56" w:rsidRPr="00905845">
              <w:rPr>
                <w:rFonts w:ascii="Times New Roman" w:hAnsi="Times New Roman"/>
                <w:sz w:val="20"/>
                <w:szCs w:val="20"/>
              </w:rPr>
              <w:t>DH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>, 45</w:t>
            </w:r>
            <w:r w:rsidR="00AF5A56" w:rsidRPr="00905845">
              <w:rPr>
                <w:rFonts w:ascii="Times New Roman" w:hAnsi="Times New Roman"/>
                <w:sz w:val="20"/>
                <w:szCs w:val="20"/>
              </w:rPr>
              <w:t>DH, 5CH e 45C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H) </w:t>
            </w:r>
          </w:p>
        </w:tc>
        <w:tc>
          <w:tcPr>
            <w:tcW w:w="1002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Água; água dinamizada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after="24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Foram retirados 10 discos da terceira ou quarta folha inoculadas de cada planta e colocados em uma placa de </w:t>
            </w:r>
            <w:proofErr w:type="spellStart"/>
            <w:r w:rsidRPr="00905845">
              <w:rPr>
                <w:rFonts w:ascii="Times New Roman" w:hAnsi="Times New Roman"/>
                <w:sz w:val="20"/>
                <w:szCs w:val="20"/>
              </w:rPr>
              <w:t>petri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 xml:space="preserve"> com 15 mL de tratamento</w:t>
            </w:r>
          </w:p>
        </w:tc>
        <w:tc>
          <w:tcPr>
            <w:tcW w:w="1755" w:type="dxa"/>
          </w:tcPr>
          <w:p w:rsidR="00501712" w:rsidRPr="00905845" w:rsidRDefault="00501712" w:rsidP="00AF5A56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As dinamizações decimais de As</w:t>
            </w:r>
            <w:r w:rsidRPr="0090584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>O</w:t>
            </w:r>
            <w:r w:rsidRPr="0090584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>, especialmente a 45</w:t>
            </w:r>
            <w:r w:rsidR="00AF5A56" w:rsidRPr="00905845">
              <w:rPr>
                <w:rFonts w:ascii="Times New Roman" w:hAnsi="Times New Roman"/>
                <w:sz w:val="20"/>
                <w:szCs w:val="20"/>
              </w:rPr>
              <w:t>DH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 xml:space="preserve"> diminuiu o n° de lesões de hipersensibilidade</w:t>
            </w:r>
          </w:p>
        </w:tc>
      </w:tr>
      <w:tr w:rsidR="00501712" w:rsidRPr="00905845" w:rsidTr="00075180">
        <w:trPr>
          <w:trHeight w:val="2478"/>
          <w:jc w:val="center"/>
        </w:trPr>
        <w:tc>
          <w:tcPr>
            <w:tcW w:w="692" w:type="dxa"/>
          </w:tcPr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proofErr w:type="spellStart"/>
            <w:r w:rsidRPr="00905845">
              <w:rPr>
                <w:rFonts w:ascii="Times New Roman" w:hAnsi="Times New Roman"/>
                <w:sz w:val="20"/>
                <w:szCs w:val="20"/>
                <w:lang w:val="es-ES_tradnl"/>
              </w:rPr>
              <w:t>Sukul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et al., 2001</w:t>
            </w:r>
          </w:p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Tomate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Estudar os efeitos de 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 xml:space="preserve">Cina </w:t>
            </w:r>
            <w:proofErr w:type="spellStart"/>
            <w:r w:rsidRPr="00905845">
              <w:rPr>
                <w:rFonts w:ascii="Times New Roman" w:hAnsi="Times New Roman"/>
                <w:i/>
                <w:sz w:val="20"/>
                <w:szCs w:val="20"/>
              </w:rPr>
              <w:t>maritma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 xml:space="preserve"> dinamizada em </w:t>
            </w:r>
            <w:r w:rsidRPr="00905845">
              <w:rPr>
                <w:rFonts w:ascii="Times New Roman" w:hAnsi="Times New Roman"/>
                <w:i/>
                <w:iCs/>
                <w:sz w:val="20"/>
                <w:szCs w:val="20"/>
              </w:rPr>
              <w:t>Meloidogyne incognita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 xml:space="preserve">Número de galhas e população do </w:t>
            </w:r>
            <w:proofErr w:type="spellStart"/>
            <w:r w:rsidRPr="00905845">
              <w:rPr>
                <w:rFonts w:ascii="Times New Roman" w:hAnsi="Times New Roman"/>
                <w:sz w:val="20"/>
                <w:szCs w:val="20"/>
              </w:rPr>
              <w:t>nematóide</w:t>
            </w:r>
            <w:proofErr w:type="spellEnd"/>
            <w:r w:rsidRPr="00905845">
              <w:rPr>
                <w:rFonts w:ascii="Times New Roman" w:hAnsi="Times New Roman"/>
                <w:sz w:val="20"/>
                <w:szCs w:val="20"/>
              </w:rPr>
              <w:t xml:space="preserve"> nas raízes</w:t>
            </w:r>
          </w:p>
        </w:tc>
        <w:tc>
          <w:tcPr>
            <w:tcW w:w="1121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Cina 200c e 1000c</w:t>
            </w:r>
          </w:p>
        </w:tc>
        <w:tc>
          <w:tcPr>
            <w:tcW w:w="1002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Glóbulos com solução hidroalcoólica 90%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Pulverização foliar com 10 mL/planta do tratamento diluído a 7,2 mg de glóbulos/ml de água destilada. As plantas foram pulverizadas por 10 dias, 1 vez ao dia</w:t>
            </w:r>
          </w:p>
        </w:tc>
        <w:tc>
          <w:tcPr>
            <w:tcW w:w="175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Cina</w:t>
            </w:r>
            <w:r w:rsidRPr="0090584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05845">
              <w:rPr>
                <w:rFonts w:ascii="Times New Roman" w:hAnsi="Times New Roman"/>
                <w:sz w:val="20"/>
                <w:szCs w:val="20"/>
              </w:rPr>
              <w:t>200c reduziu o n° de galhas/planta; as duas dinamizações de Cina reduziram a população do nematoide nas raízes</w:t>
            </w:r>
          </w:p>
        </w:tc>
      </w:tr>
      <w:tr w:rsidR="00501712" w:rsidRPr="00871832" w:rsidTr="00075180">
        <w:trPr>
          <w:trHeight w:val="1199"/>
          <w:jc w:val="center"/>
        </w:trPr>
        <w:tc>
          <w:tcPr>
            <w:tcW w:w="692" w:type="dxa"/>
          </w:tcPr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Sukul</w:t>
            </w:r>
            <w:proofErr w:type="spellEnd"/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 xml:space="preserve"> &amp; </w:t>
            </w:r>
            <w:proofErr w:type="spellStart"/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Sukul</w:t>
            </w:r>
            <w:proofErr w:type="spellEnd"/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, 1999</w:t>
            </w:r>
          </w:p>
          <w:p w:rsidR="00501712" w:rsidRPr="00905845" w:rsidRDefault="00501712" w:rsidP="000751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Caupi</w:t>
            </w:r>
            <w:proofErr w:type="spellEnd"/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 xml:space="preserve">Avaliar o efeito de </w:t>
            </w:r>
            <w:r w:rsidRPr="00905845">
              <w:rPr>
                <w:rFonts w:ascii="Times New Roman" w:eastAsia="Arial Unicode MS" w:hAnsi="Times New Roman"/>
                <w:i/>
                <w:sz w:val="20"/>
                <w:szCs w:val="20"/>
              </w:rPr>
              <w:t xml:space="preserve">Cina </w:t>
            </w:r>
            <w:proofErr w:type="spellStart"/>
            <w:r w:rsidRPr="00905845">
              <w:rPr>
                <w:rFonts w:ascii="Times New Roman" w:eastAsia="Arial Unicode MS" w:hAnsi="Times New Roman"/>
                <w:i/>
                <w:sz w:val="20"/>
                <w:szCs w:val="20"/>
              </w:rPr>
              <w:t>maritma</w:t>
            </w:r>
            <w:proofErr w:type="spellEnd"/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 xml:space="preserve"> 1000c sobre </w:t>
            </w:r>
            <w:r w:rsidRPr="00905845">
              <w:rPr>
                <w:rFonts w:ascii="Times New Roman" w:eastAsia="Arial Unicode MS" w:hAnsi="Times New Roman"/>
                <w:i/>
                <w:sz w:val="20"/>
                <w:szCs w:val="20"/>
              </w:rPr>
              <w:t>Meloidogyne incognita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Número de galhas; população do nematoide</w:t>
            </w:r>
          </w:p>
        </w:tc>
        <w:tc>
          <w:tcPr>
            <w:tcW w:w="1121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Cina 1000c</w:t>
            </w:r>
          </w:p>
        </w:tc>
        <w:tc>
          <w:tcPr>
            <w:tcW w:w="1002" w:type="dxa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hAnsi="Times New Roman"/>
                <w:sz w:val="20"/>
                <w:szCs w:val="20"/>
              </w:rPr>
              <w:t>Glóbulos com solução hidroalcoólica 90%</w:t>
            </w:r>
          </w:p>
        </w:tc>
        <w:tc>
          <w:tcPr>
            <w:tcW w:w="0" w:type="auto"/>
          </w:tcPr>
          <w:p w:rsidR="00501712" w:rsidRPr="00905845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Pulverização foliar</w:t>
            </w:r>
          </w:p>
        </w:tc>
        <w:tc>
          <w:tcPr>
            <w:tcW w:w="1755" w:type="dxa"/>
          </w:tcPr>
          <w:p w:rsidR="00501712" w:rsidRPr="00871832" w:rsidRDefault="00501712" w:rsidP="00075180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5845">
              <w:rPr>
                <w:rFonts w:ascii="Times New Roman" w:eastAsia="Arial Unicode MS" w:hAnsi="Times New Roman"/>
                <w:sz w:val="20"/>
                <w:szCs w:val="20"/>
              </w:rPr>
              <w:t>O tratamento reduziu o número de galhas e a população do nematoide na raiz e no solo</w:t>
            </w:r>
          </w:p>
        </w:tc>
      </w:tr>
    </w:tbl>
    <w:p w:rsidR="00501712" w:rsidRDefault="00501712" w:rsidP="00501712">
      <w:pPr>
        <w:rPr>
          <w:rFonts w:ascii="Times New Roman" w:hAnsi="Times New Roman"/>
          <w:sz w:val="20"/>
          <w:szCs w:val="20"/>
        </w:rPr>
      </w:pPr>
    </w:p>
    <w:p w:rsidR="00501712" w:rsidRDefault="00501712" w:rsidP="00501712">
      <w:pPr>
        <w:rPr>
          <w:rFonts w:ascii="Times New Roman" w:hAnsi="Times New Roman"/>
          <w:sz w:val="20"/>
          <w:szCs w:val="20"/>
        </w:rPr>
      </w:pPr>
    </w:p>
    <w:p w:rsidR="00864309" w:rsidRDefault="00864309"/>
    <w:sectPr w:rsidR="0086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12"/>
    <w:rsid w:val="000A7726"/>
    <w:rsid w:val="000B080E"/>
    <w:rsid w:val="00501712"/>
    <w:rsid w:val="00864309"/>
    <w:rsid w:val="00905845"/>
    <w:rsid w:val="00A77932"/>
    <w:rsid w:val="00AF5A56"/>
    <w:rsid w:val="00E01F26"/>
    <w:rsid w:val="00F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</dc:creator>
  <cp:lastModifiedBy>Autor</cp:lastModifiedBy>
  <cp:revision>2</cp:revision>
  <dcterms:created xsi:type="dcterms:W3CDTF">2017-10-18T16:49:00Z</dcterms:created>
  <dcterms:modified xsi:type="dcterms:W3CDTF">2017-10-18T16:49:00Z</dcterms:modified>
</cp:coreProperties>
</file>